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87250583"/>
        <w:docPartObj>
          <w:docPartGallery w:val="Table of Contents"/>
          <w:docPartUnique/>
        </w:docPartObj>
      </w:sdtPr>
      <w:sdtContent>
        <w:p w:rsidR="0029380E" w:rsidRDefault="0029380E">
          <w:pPr>
            <w:pStyle w:val="TOCHeading"/>
          </w:pPr>
          <w:r>
            <w:t>Contents</w:t>
          </w:r>
        </w:p>
        <w:p w:rsidR="0088128C" w:rsidRPr="0088128C" w:rsidRDefault="0088128C" w:rsidP="0088128C"/>
        <w:p w:rsidR="00626C3A" w:rsidRDefault="00CD506D">
          <w:pPr>
            <w:pStyle w:val="TOC1"/>
            <w:tabs>
              <w:tab w:val="right" w:leader="dot" w:pos="14390"/>
            </w:tabs>
            <w:rPr>
              <w:rFonts w:eastAsiaTheme="minorEastAsia"/>
              <w:noProof/>
            </w:rPr>
          </w:pPr>
          <w:r>
            <w:fldChar w:fldCharType="begin"/>
          </w:r>
          <w:r w:rsidR="0029380E">
            <w:instrText xml:space="preserve"> TOC \o "1-3" \h \z \u </w:instrText>
          </w:r>
          <w:r>
            <w:fldChar w:fldCharType="separate"/>
          </w:r>
          <w:hyperlink w:anchor="_Toc324102764" w:history="1">
            <w:r w:rsidR="00626C3A" w:rsidRPr="00611E7A">
              <w:rPr>
                <w:rStyle w:val="Hyperlink"/>
                <w:noProof/>
              </w:rPr>
              <w:t>Meaningful Use Objective Comments</w:t>
            </w:r>
            <w:r w:rsidR="00626C3A">
              <w:rPr>
                <w:noProof/>
                <w:webHidden/>
              </w:rPr>
              <w:tab/>
            </w:r>
            <w:r>
              <w:rPr>
                <w:noProof/>
                <w:webHidden/>
              </w:rPr>
              <w:fldChar w:fldCharType="begin"/>
            </w:r>
            <w:r w:rsidR="00626C3A">
              <w:rPr>
                <w:noProof/>
                <w:webHidden/>
              </w:rPr>
              <w:instrText xml:space="preserve"> PAGEREF _Toc324102764 \h </w:instrText>
            </w:r>
            <w:r>
              <w:rPr>
                <w:noProof/>
                <w:webHidden/>
              </w:rPr>
            </w:r>
            <w:r>
              <w:rPr>
                <w:noProof/>
                <w:webHidden/>
              </w:rPr>
              <w:fldChar w:fldCharType="separate"/>
            </w:r>
            <w:r w:rsidR="00626C3A">
              <w:rPr>
                <w:noProof/>
                <w:webHidden/>
              </w:rPr>
              <w:t>2</w:t>
            </w:r>
            <w:r>
              <w:rPr>
                <w:noProof/>
                <w:webHidden/>
              </w:rPr>
              <w:fldChar w:fldCharType="end"/>
            </w:r>
          </w:hyperlink>
        </w:p>
        <w:p w:rsidR="00626C3A" w:rsidRDefault="00CD506D">
          <w:pPr>
            <w:pStyle w:val="TOC1"/>
            <w:tabs>
              <w:tab w:val="right" w:leader="dot" w:pos="14390"/>
            </w:tabs>
            <w:rPr>
              <w:rFonts w:eastAsiaTheme="minorEastAsia"/>
              <w:noProof/>
            </w:rPr>
          </w:pPr>
          <w:hyperlink w:anchor="_Toc324102765" w:history="1">
            <w:r w:rsidR="00626C3A" w:rsidRPr="00611E7A">
              <w:rPr>
                <w:rStyle w:val="Hyperlink"/>
                <w:noProof/>
              </w:rPr>
              <w:t>Comments Solicited in NPRM</w:t>
            </w:r>
            <w:r w:rsidR="00626C3A">
              <w:rPr>
                <w:noProof/>
                <w:webHidden/>
              </w:rPr>
              <w:tab/>
            </w:r>
            <w:r>
              <w:rPr>
                <w:noProof/>
                <w:webHidden/>
              </w:rPr>
              <w:fldChar w:fldCharType="begin"/>
            </w:r>
            <w:r w:rsidR="00626C3A">
              <w:rPr>
                <w:noProof/>
                <w:webHidden/>
              </w:rPr>
              <w:instrText xml:space="preserve"> PAGEREF _Toc324102765 \h </w:instrText>
            </w:r>
            <w:r>
              <w:rPr>
                <w:noProof/>
                <w:webHidden/>
              </w:rPr>
            </w:r>
            <w:r>
              <w:rPr>
                <w:noProof/>
                <w:webHidden/>
              </w:rPr>
              <w:fldChar w:fldCharType="separate"/>
            </w:r>
            <w:r w:rsidR="00626C3A">
              <w:rPr>
                <w:noProof/>
                <w:webHidden/>
              </w:rPr>
              <w:t>21</w:t>
            </w:r>
            <w:r>
              <w:rPr>
                <w:noProof/>
                <w:webHidden/>
              </w:rPr>
              <w:fldChar w:fldCharType="end"/>
            </w:r>
          </w:hyperlink>
        </w:p>
        <w:p w:rsidR="0029380E" w:rsidRDefault="00CD506D">
          <w:r>
            <w:fldChar w:fldCharType="end"/>
          </w:r>
        </w:p>
      </w:sdtContent>
    </w:sdt>
    <w:p w:rsidR="0029380E" w:rsidRDefault="0029380E">
      <w:pPr>
        <w:rPr>
          <w:rFonts w:asciiTheme="majorHAnsi" w:eastAsiaTheme="majorEastAsia" w:hAnsiTheme="majorHAnsi" w:cstheme="majorBidi"/>
          <w:b/>
          <w:bCs/>
          <w:color w:val="365F91" w:themeColor="accent1" w:themeShade="BF"/>
          <w:sz w:val="28"/>
          <w:szCs w:val="28"/>
        </w:rPr>
      </w:pPr>
      <w:r>
        <w:br w:type="page"/>
      </w:r>
    </w:p>
    <w:p w:rsidR="00893F9A" w:rsidRDefault="00893F9A" w:rsidP="00893F9A">
      <w:pPr>
        <w:pStyle w:val="Heading1"/>
      </w:pPr>
      <w:bookmarkStart w:id="0" w:name="_Toc324102764"/>
      <w:r>
        <w:lastRenderedPageBreak/>
        <w:t>Meaningful Use Objective</w:t>
      </w:r>
      <w:r w:rsidR="0088128C">
        <w:t xml:space="preserve"> Comments</w:t>
      </w:r>
      <w:bookmarkEnd w:id="0"/>
    </w:p>
    <w:tbl>
      <w:tblPr>
        <w:tblW w:w="14580" w:type="dxa"/>
        <w:tblInd w:w="-7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170"/>
        <w:gridCol w:w="3240"/>
        <w:gridCol w:w="2610"/>
        <w:gridCol w:w="7560"/>
      </w:tblGrid>
      <w:tr w:rsidR="00893F9A" w:rsidRPr="00D7704E" w:rsidTr="00322F90">
        <w:trPr>
          <w:trHeight w:val="630"/>
        </w:trPr>
        <w:tc>
          <w:tcPr>
            <w:tcW w:w="1170" w:type="dxa"/>
            <w:shd w:val="clear" w:color="auto" w:fill="286AA0"/>
          </w:tcPr>
          <w:p w:rsidR="00893F9A" w:rsidRPr="00D7704E" w:rsidRDefault="00893F9A" w:rsidP="00A645D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240" w:type="dxa"/>
            <w:shd w:val="clear" w:color="auto" w:fill="286AA0"/>
          </w:tcPr>
          <w:p w:rsidR="00893F9A" w:rsidRPr="00D7704E" w:rsidRDefault="00893F9A" w:rsidP="00A645D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610" w:type="dxa"/>
            <w:shd w:val="clear" w:color="auto" w:fill="286AA0"/>
          </w:tcPr>
          <w:p w:rsidR="00893F9A" w:rsidRPr="00D7704E" w:rsidRDefault="00893F9A" w:rsidP="00A645D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560" w:type="dxa"/>
            <w:shd w:val="clear" w:color="auto" w:fill="286AA0"/>
          </w:tcPr>
          <w:p w:rsidR="00893F9A" w:rsidRPr="00D7704E" w:rsidRDefault="00893F9A" w:rsidP="00A645D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893F9A" w:rsidRPr="00D7704E" w:rsidTr="00322F90">
        <w:trPr>
          <w:trHeight w:val="1385"/>
        </w:trPr>
        <w:tc>
          <w:tcPr>
            <w:tcW w:w="1170" w:type="dxa"/>
            <w:vMerge w:val="restart"/>
            <w:shd w:val="clear" w:color="auto" w:fill="auto"/>
          </w:tcPr>
          <w:p w:rsidR="00893F9A" w:rsidRPr="00D7704E" w:rsidRDefault="00893F9A" w:rsidP="00A645DE">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240" w:type="dxa"/>
            <w:tcBorders>
              <w:bottom w:val="single" w:sz="12" w:space="0" w:color="4F81BD" w:themeColor="accent1"/>
            </w:tcBorders>
            <w:shd w:val="clear" w:color="auto" w:fill="auto"/>
            <w:noWrap/>
          </w:tcPr>
          <w:p w:rsidR="00893F9A" w:rsidRPr="00D7704E" w:rsidRDefault="00893F9A" w:rsidP="00A645DE">
            <w:pPr>
              <w:rPr>
                <w:rFonts w:eastAsia="Times New Roman" w:cs="Times New Roman"/>
                <w:b/>
                <w:bCs/>
                <w:sz w:val="20"/>
                <w:szCs w:val="20"/>
              </w:rPr>
            </w:pPr>
            <w:r w:rsidRPr="00D7704E">
              <w:rPr>
                <w:rFonts w:eastAsia="Times New Roman"/>
                <w:bCs/>
                <w:sz w:val="20"/>
                <w:szCs w:val="20"/>
              </w:rPr>
              <w:t>Medication only: More than 30% of unique patients seen during the reporting period with at least one medication in their medication list have at least one medication order entered using CPOE</w:t>
            </w:r>
          </w:p>
        </w:tc>
        <w:tc>
          <w:tcPr>
            <w:tcW w:w="2610" w:type="dxa"/>
            <w:tcBorders>
              <w:bottom w:val="single" w:sz="12" w:space="0" w:color="4F81BD" w:themeColor="accent1"/>
            </w:tcBorders>
            <w:shd w:val="clear" w:color="auto" w:fill="auto"/>
            <w:noWrap/>
          </w:tcPr>
          <w:p w:rsidR="00893F9A" w:rsidRPr="00D7704E" w:rsidRDefault="00893F9A" w:rsidP="00A645DE">
            <w:pPr>
              <w:rPr>
                <w:rFonts w:eastAsia="Times New Roman" w:cs="Times New Roman"/>
                <w:b/>
                <w:bCs/>
                <w:sz w:val="20"/>
                <w:szCs w:val="20"/>
              </w:rPr>
            </w:pPr>
            <w:r w:rsidRPr="00D7704E">
              <w:rPr>
                <w:rFonts w:eastAsia="Times New Roman"/>
                <w:b/>
                <w:bCs/>
                <w:sz w:val="20"/>
                <w:szCs w:val="20"/>
              </w:rPr>
              <w:t>Medications</w:t>
            </w:r>
            <w:r w:rsidRPr="00D7704E">
              <w:rPr>
                <w:rFonts w:eastAsia="Times New Roman"/>
                <w:bCs/>
                <w:sz w:val="20"/>
                <w:szCs w:val="20"/>
              </w:rPr>
              <w:t xml:space="preserve">: </w:t>
            </w:r>
            <w:r w:rsidRPr="00D7704E">
              <w:rPr>
                <w:rFonts w:eastAsia="Times New Roman"/>
                <w:b/>
                <w:bCs/>
                <w:sz w:val="20"/>
                <w:szCs w:val="20"/>
              </w:rPr>
              <w:t>60%</w:t>
            </w:r>
            <w:r w:rsidRPr="00D7704E">
              <w:rPr>
                <w:rFonts w:eastAsia="Times New Roman"/>
                <w:b/>
                <w:bCs/>
                <w:sz w:val="20"/>
                <w:szCs w:val="20"/>
              </w:rPr>
              <w:br/>
              <w:t xml:space="preserve">Lab: </w:t>
            </w:r>
            <w:r w:rsidRPr="00D7704E">
              <w:rPr>
                <w:rFonts w:eastAsia="Times New Roman"/>
                <w:bCs/>
                <w:sz w:val="20"/>
                <w:szCs w:val="20"/>
              </w:rPr>
              <w:t xml:space="preserve">More than 60% have at least one lab order entered </w:t>
            </w:r>
            <w:r w:rsidRPr="00D7704E">
              <w:rPr>
                <w:rFonts w:eastAsia="Times New Roman"/>
                <w:bCs/>
                <w:sz w:val="20"/>
                <w:szCs w:val="20"/>
              </w:rPr>
              <w:br/>
            </w:r>
            <w:r w:rsidRPr="00D7704E">
              <w:rPr>
                <w:rFonts w:eastAsia="Times New Roman"/>
                <w:b/>
                <w:bCs/>
                <w:sz w:val="20"/>
                <w:szCs w:val="20"/>
              </w:rPr>
              <w:t>Radiology:</w:t>
            </w:r>
            <w:r w:rsidRPr="00D7704E">
              <w:rPr>
                <w:rFonts w:eastAsia="Times New Roman"/>
                <w:bCs/>
                <w:sz w:val="20"/>
                <w:szCs w:val="20"/>
              </w:rPr>
              <w:t xml:space="preserve"> At least one radiology test is ordered</w:t>
            </w:r>
          </w:p>
        </w:tc>
        <w:tc>
          <w:tcPr>
            <w:tcW w:w="7560" w:type="dxa"/>
            <w:tcBorders>
              <w:bottom w:val="single" w:sz="12" w:space="0" w:color="4F81BD" w:themeColor="accent1"/>
            </w:tcBorders>
            <w:shd w:val="clear" w:color="auto" w:fill="auto"/>
            <w:noWrap/>
          </w:tcPr>
          <w:p w:rsidR="00893F9A" w:rsidRPr="00D7704E" w:rsidRDefault="00893F9A" w:rsidP="00A645DE">
            <w:pPr>
              <w:spacing w:after="0" w:line="240" w:lineRule="auto"/>
              <w:rPr>
                <w:rFonts w:eastAsia="Times New Roman" w:cs="Times New Roman"/>
                <w:bCs/>
                <w:sz w:val="20"/>
                <w:szCs w:val="20"/>
              </w:rPr>
            </w:pPr>
            <w:r w:rsidRPr="00D7704E">
              <w:rPr>
                <w:rFonts w:eastAsia="Times New Roman" w:cs="Times New Roman"/>
                <w:bCs/>
                <w:sz w:val="20"/>
                <w:szCs w:val="20"/>
              </w:rPr>
              <w:t>Objective: Use computerized provider order entry (CPOE) for medication, laboratory and radiology orders directly entered by any licensed healthcare professional who can enter orders into the medical record per State, local and professional guidelines to create the first record of the order.</w:t>
            </w:r>
          </w:p>
          <w:p w:rsidR="00893F9A" w:rsidRPr="00D7704E" w:rsidRDefault="00893F9A" w:rsidP="00A645DE">
            <w:pPr>
              <w:spacing w:after="0" w:line="240" w:lineRule="auto"/>
              <w:rPr>
                <w:rFonts w:eastAsia="Times New Roman" w:cs="Times New Roman"/>
                <w:bCs/>
                <w:sz w:val="20"/>
                <w:szCs w:val="20"/>
              </w:rPr>
            </w:pPr>
            <w:r w:rsidRPr="00D7704E">
              <w:rPr>
                <w:rFonts w:eastAsia="Times New Roman" w:cs="Times New Roman"/>
                <w:bCs/>
                <w:sz w:val="20"/>
                <w:szCs w:val="20"/>
              </w:rPr>
              <w:t>Measure: More than 60% of medication, laboratory, and radiology orders created by the EP or authorized providers of the eligible hospital's or CAH's inpatient or emergency department (POS 21 or 23) during the EHR reporting period are recorded using CPOE</w:t>
            </w:r>
          </w:p>
        </w:tc>
      </w:tr>
      <w:tr w:rsidR="00893F9A" w:rsidRPr="00D7704E">
        <w:trPr>
          <w:trHeight w:val="375"/>
        </w:trPr>
        <w:tc>
          <w:tcPr>
            <w:tcW w:w="1170" w:type="dxa"/>
            <w:vMerge/>
            <w:vAlign w:val="center"/>
          </w:tcPr>
          <w:p w:rsidR="00893F9A" w:rsidRPr="00D7704E" w:rsidRDefault="00893F9A" w:rsidP="00A645DE">
            <w:pPr>
              <w:spacing w:after="0" w:line="240" w:lineRule="auto"/>
              <w:rPr>
                <w:rFonts w:eastAsia="Times New Roman" w:cs="Times New Roman"/>
                <w:b/>
                <w:bCs/>
                <w:sz w:val="20"/>
                <w:szCs w:val="20"/>
              </w:rPr>
            </w:pPr>
          </w:p>
        </w:tc>
        <w:tc>
          <w:tcPr>
            <w:tcW w:w="13410" w:type="dxa"/>
            <w:gridSpan w:val="3"/>
            <w:tcBorders>
              <w:top w:val="single" w:sz="12" w:space="0" w:color="4F81BD" w:themeColor="accent1"/>
            </w:tcBorders>
            <w:shd w:val="clear" w:color="000000" w:fill="FFFFFF"/>
          </w:tcPr>
          <w:p w:rsidR="00B35860" w:rsidRDefault="00D8471A" w:rsidP="00A645DE">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 xml:space="preserve"> Comments</w:t>
            </w:r>
          </w:p>
          <w:p w:rsidR="00F62495" w:rsidRPr="00B0730D" w:rsidRDefault="00F62495" w:rsidP="00F62495">
            <w:pPr>
              <w:widowControl w:val="0"/>
              <w:autoSpaceDE w:val="0"/>
              <w:autoSpaceDN w:val="0"/>
              <w:adjustRightInd w:val="0"/>
              <w:spacing w:after="0" w:line="240" w:lineRule="auto"/>
              <w:rPr>
                <w:rFonts w:ascii="Calibri" w:eastAsia="Times New Roman" w:hAnsi="Calibri" w:cs="Arial"/>
                <w:sz w:val="20"/>
                <w:szCs w:val="20"/>
              </w:rPr>
            </w:pPr>
            <w:r w:rsidRPr="00B0730D">
              <w:rPr>
                <w:rFonts w:ascii="Calibri" w:eastAsia="Times New Roman" w:hAnsi="Calibri" w:cs="Arial"/>
                <w:sz w:val="20"/>
                <w:szCs w:val="20"/>
              </w:rPr>
              <w:t>The NPRM appears to include all orders in the denominator, including orders written on paper. If this interpretation is correct, and if CMS and ONC</w:t>
            </w:r>
          </w:p>
          <w:p w:rsidR="00F62495" w:rsidRPr="00B0730D" w:rsidRDefault="00F62495" w:rsidP="00F62495">
            <w:pPr>
              <w:widowControl w:val="0"/>
              <w:autoSpaceDE w:val="0"/>
              <w:autoSpaceDN w:val="0"/>
              <w:adjustRightInd w:val="0"/>
              <w:spacing w:after="0" w:line="240" w:lineRule="auto"/>
              <w:rPr>
                <w:rFonts w:ascii="Calibri" w:eastAsia="Times New Roman" w:hAnsi="Calibri" w:cs="Arial"/>
                <w:sz w:val="20"/>
                <w:szCs w:val="20"/>
              </w:rPr>
            </w:pPr>
            <w:r w:rsidRPr="00B0730D">
              <w:rPr>
                <w:rFonts w:ascii="Calibri" w:eastAsia="Times New Roman" w:hAnsi="Calibri" w:cs="Arial"/>
                <w:sz w:val="20"/>
                <w:szCs w:val="20"/>
              </w:rPr>
              <w:t>decide (e.g., based on public input) that counting paper orders is too difficult, then we recommend as an alternative that the denominator be</w:t>
            </w:r>
          </w:p>
          <w:p w:rsidR="00F62495" w:rsidRPr="00B0730D" w:rsidRDefault="00F62495" w:rsidP="00F62495">
            <w:pPr>
              <w:spacing w:after="0" w:line="240" w:lineRule="auto"/>
              <w:rPr>
                <w:rFonts w:eastAsia="Times New Roman" w:cs="Arial"/>
              </w:rPr>
            </w:pPr>
            <w:r w:rsidRPr="00B0730D">
              <w:rPr>
                <w:rFonts w:ascii="Calibri" w:eastAsia="Times New Roman" w:hAnsi="Calibri" w:cs="Arial"/>
                <w:sz w:val="20"/>
                <w:szCs w:val="20"/>
              </w:rPr>
              <w:t>something that is calculated automatically:</w:t>
            </w:r>
          </w:p>
          <w:p w:rsidR="00F62495" w:rsidRPr="00B35860" w:rsidRDefault="00F62495" w:rsidP="00F62495">
            <w:pPr>
              <w:pStyle w:val="ListParagraph"/>
              <w:numPr>
                <w:ilvl w:val="1"/>
                <w:numId w:val="40"/>
              </w:numPr>
              <w:spacing w:after="0" w:line="240" w:lineRule="auto"/>
              <w:rPr>
                <w:rFonts w:eastAsia="Times New Roman" w:cs="Times New Roman"/>
                <w:b/>
                <w:bCs/>
                <w:sz w:val="20"/>
                <w:szCs w:val="20"/>
              </w:rPr>
            </w:pPr>
            <w:bookmarkStart w:id="1" w:name="_GoBack"/>
            <w:bookmarkEnd w:id="1"/>
            <w:r>
              <w:rPr>
                <w:rFonts w:eastAsia="Times New Roman" w:cs="Times New Roman"/>
                <w:bCs/>
                <w:sz w:val="20"/>
                <w:szCs w:val="20"/>
              </w:rPr>
              <w:t>M</w:t>
            </w:r>
            <w:r w:rsidRPr="00B35860">
              <w:rPr>
                <w:rFonts w:eastAsia="Times New Roman" w:cs="Times New Roman"/>
                <w:bCs/>
                <w:sz w:val="20"/>
                <w:szCs w:val="20"/>
              </w:rPr>
              <w:t>edications on the med list</w:t>
            </w:r>
          </w:p>
          <w:p w:rsidR="00F62495" w:rsidRPr="00CF0A10" w:rsidRDefault="00F62495" w:rsidP="00F62495">
            <w:pPr>
              <w:pStyle w:val="ListParagraph"/>
              <w:numPr>
                <w:ilvl w:val="1"/>
                <w:numId w:val="40"/>
              </w:numPr>
              <w:spacing w:after="0" w:line="240" w:lineRule="auto"/>
              <w:rPr>
                <w:rFonts w:eastAsia="Times New Roman" w:cs="Times New Roman"/>
                <w:b/>
                <w:bCs/>
                <w:sz w:val="20"/>
                <w:szCs w:val="20"/>
              </w:rPr>
            </w:pPr>
            <w:r>
              <w:rPr>
                <w:rFonts w:eastAsia="Times New Roman" w:cs="Times New Roman"/>
                <w:bCs/>
                <w:sz w:val="20"/>
                <w:szCs w:val="20"/>
              </w:rPr>
              <w:t>R</w:t>
            </w:r>
            <w:r w:rsidRPr="00B35860">
              <w:rPr>
                <w:rFonts w:eastAsia="Times New Roman" w:cs="Times New Roman"/>
                <w:bCs/>
                <w:sz w:val="20"/>
                <w:szCs w:val="20"/>
              </w:rPr>
              <w:t xml:space="preserve">esulted lab tests, and </w:t>
            </w:r>
          </w:p>
          <w:p w:rsidR="00F62495" w:rsidRPr="00E37474" w:rsidRDefault="00F62495" w:rsidP="00F62495">
            <w:pPr>
              <w:pStyle w:val="ListParagraph"/>
              <w:numPr>
                <w:ilvl w:val="1"/>
                <w:numId w:val="40"/>
              </w:numPr>
              <w:spacing w:after="0" w:line="240" w:lineRule="auto"/>
              <w:rPr>
                <w:rFonts w:eastAsia="Times New Roman" w:cs="Times New Roman"/>
                <w:b/>
                <w:bCs/>
                <w:sz w:val="20"/>
                <w:szCs w:val="20"/>
              </w:rPr>
            </w:pPr>
            <w:r>
              <w:rPr>
                <w:rFonts w:eastAsia="Times New Roman" w:cs="Times New Roman"/>
                <w:bCs/>
                <w:sz w:val="20"/>
                <w:szCs w:val="20"/>
              </w:rPr>
              <w:t>R</w:t>
            </w:r>
            <w:r w:rsidRPr="00B35860">
              <w:rPr>
                <w:rFonts w:eastAsia="Times New Roman" w:cs="Times New Roman"/>
                <w:bCs/>
                <w:sz w:val="20"/>
                <w:szCs w:val="20"/>
              </w:rPr>
              <w:t>esulted radiology tests</w:t>
            </w:r>
            <w:r w:rsidRPr="003E4E92">
              <w:rPr>
                <w:rFonts w:eastAsia="Times New Roman" w:cs="Times New Roman"/>
                <w:bCs/>
                <w:sz w:val="20"/>
                <w:szCs w:val="20"/>
              </w:rPr>
              <w:t>.</w:t>
            </w:r>
          </w:p>
          <w:p w:rsidR="00F62495" w:rsidRDefault="00F62495" w:rsidP="00F62495">
            <w:pPr>
              <w:spacing w:after="0" w:line="240" w:lineRule="auto"/>
              <w:rPr>
                <w:rFonts w:eastAsia="Times New Roman" w:cs="Times New Roman"/>
                <w:b/>
                <w:bCs/>
                <w:sz w:val="20"/>
                <w:szCs w:val="20"/>
              </w:rPr>
            </w:pPr>
            <w:r w:rsidRPr="003E4E92">
              <w:rPr>
                <w:rFonts w:eastAsia="Times New Roman" w:cs="Times New Roman"/>
                <w:bCs/>
                <w:sz w:val="20"/>
                <w:szCs w:val="20"/>
              </w:rPr>
              <w:t xml:space="preserve">The numerator would be </w:t>
            </w:r>
            <w:r>
              <w:rPr>
                <w:rFonts w:eastAsia="Times New Roman" w:cs="Times New Roman"/>
                <w:bCs/>
                <w:sz w:val="20"/>
                <w:szCs w:val="20"/>
              </w:rPr>
              <w:t>the number</w:t>
            </w:r>
            <w:r w:rsidRPr="003E4E92">
              <w:rPr>
                <w:rFonts w:eastAsia="Times New Roman" w:cs="Times New Roman"/>
                <w:bCs/>
                <w:sz w:val="20"/>
                <w:szCs w:val="20"/>
              </w:rPr>
              <w:t xml:space="preserve"> of CPOE orders entered by the authorizing provider</w:t>
            </w:r>
            <w:r>
              <w:rPr>
                <w:rFonts w:eastAsia="Times New Roman" w:cs="Times New Roman"/>
                <w:bCs/>
                <w:sz w:val="20"/>
                <w:szCs w:val="20"/>
              </w:rPr>
              <w:t>.</w:t>
            </w:r>
            <w:r w:rsidRPr="003E4E92">
              <w:rPr>
                <w:rFonts w:eastAsia="Times New Roman" w:cs="Times New Roman"/>
                <w:bCs/>
                <w:sz w:val="20"/>
                <w:szCs w:val="20"/>
              </w:rPr>
              <w:t xml:space="preserve">   </w:t>
            </w:r>
          </w:p>
          <w:p w:rsidR="00F62495" w:rsidRPr="00322F90" w:rsidRDefault="00F62495" w:rsidP="00F62495">
            <w:pPr>
              <w:spacing w:after="0" w:line="240" w:lineRule="auto"/>
              <w:rPr>
                <w:rFonts w:eastAsia="Times New Roman" w:cs="Times New Roman"/>
                <w:b/>
                <w:bCs/>
                <w:sz w:val="10"/>
                <w:szCs w:val="10"/>
              </w:rPr>
            </w:pPr>
          </w:p>
          <w:p w:rsidR="00F62495" w:rsidRDefault="00F62495" w:rsidP="00F62495">
            <w:pPr>
              <w:spacing w:after="0" w:line="240" w:lineRule="auto"/>
              <w:rPr>
                <w:rFonts w:eastAsia="Times New Roman" w:cs="Times New Roman"/>
                <w:bCs/>
                <w:sz w:val="20"/>
                <w:szCs w:val="20"/>
              </w:rPr>
            </w:pPr>
            <w:r w:rsidRPr="00322F90">
              <w:rPr>
                <w:rFonts w:eastAsia="Times New Roman" w:cs="Times New Roman"/>
                <w:bCs/>
                <w:sz w:val="20"/>
                <w:szCs w:val="20"/>
              </w:rPr>
              <w:t>A</w:t>
            </w:r>
            <w:r w:rsidRPr="003E4E92">
              <w:rPr>
                <w:rFonts w:eastAsia="Times New Roman" w:cs="Times New Roman"/>
                <w:bCs/>
                <w:sz w:val="20"/>
                <w:szCs w:val="20"/>
              </w:rPr>
              <w:t xml:space="preserve">s proposed, </w:t>
            </w:r>
            <w:r>
              <w:rPr>
                <w:rFonts w:eastAsia="Times New Roman" w:cs="Times New Roman"/>
                <w:bCs/>
                <w:sz w:val="20"/>
                <w:szCs w:val="20"/>
              </w:rPr>
              <w:t xml:space="preserve">orders for </w:t>
            </w:r>
            <w:r w:rsidRPr="003E4E92">
              <w:rPr>
                <w:rFonts w:eastAsia="Times New Roman" w:cs="Times New Roman"/>
                <w:bCs/>
                <w:sz w:val="20"/>
                <w:szCs w:val="20"/>
              </w:rPr>
              <w:t>med</w:t>
            </w:r>
            <w:r>
              <w:rPr>
                <w:rFonts w:eastAsia="Times New Roman" w:cs="Times New Roman"/>
                <w:bCs/>
                <w:sz w:val="20"/>
                <w:szCs w:val="20"/>
              </w:rPr>
              <w:t>ications, laboratory tests, and radiology procedures are aggregated, and the 60% threshold applies to the aggregate percent.  In theory, a provider could aggregate the results of medication and laboratory test orders and get a “bye” on radiology procedure orders.  Consequently, we recommend applying the 60% threshold to each order type separately.</w:t>
            </w:r>
          </w:p>
          <w:p w:rsidR="00F62495" w:rsidRPr="00322F90" w:rsidRDefault="00F62495" w:rsidP="00F62495">
            <w:pPr>
              <w:spacing w:after="0" w:line="240" w:lineRule="auto"/>
              <w:rPr>
                <w:rFonts w:eastAsia="Times New Roman" w:cs="Times New Roman"/>
                <w:bCs/>
                <w:sz w:val="10"/>
                <w:szCs w:val="10"/>
              </w:rPr>
            </w:pPr>
          </w:p>
          <w:p w:rsidR="00F62495" w:rsidRDefault="00F62495" w:rsidP="00F62495">
            <w:pPr>
              <w:spacing w:after="0" w:line="240" w:lineRule="auto"/>
              <w:rPr>
                <w:rFonts w:eastAsia="Times New Roman" w:cs="Times New Roman"/>
                <w:b/>
                <w:bCs/>
                <w:sz w:val="20"/>
                <w:szCs w:val="20"/>
              </w:rPr>
            </w:pPr>
            <w:r>
              <w:rPr>
                <w:rFonts w:eastAsia="Times New Roman" w:cs="Times New Roman"/>
                <w:bCs/>
                <w:sz w:val="20"/>
                <w:szCs w:val="20"/>
              </w:rPr>
              <w:t>As a point of c</w:t>
            </w:r>
            <w:r w:rsidRPr="00A13B44">
              <w:rPr>
                <w:rFonts w:eastAsia="Times New Roman" w:cs="Times New Roman"/>
                <w:bCs/>
                <w:sz w:val="20"/>
                <w:szCs w:val="20"/>
              </w:rPr>
              <w:t>larification</w:t>
            </w:r>
            <w:r>
              <w:rPr>
                <w:rFonts w:eastAsia="Times New Roman" w:cs="Times New Roman"/>
                <w:bCs/>
                <w:sz w:val="20"/>
                <w:szCs w:val="20"/>
              </w:rPr>
              <w:t xml:space="preserve">, the previously submitted </w:t>
            </w:r>
            <w:r w:rsidRPr="00A13B44">
              <w:rPr>
                <w:rFonts w:eastAsia="Times New Roman" w:cs="Times New Roman"/>
                <w:bCs/>
                <w:sz w:val="20"/>
                <w:szCs w:val="20"/>
              </w:rPr>
              <w:t>HITPC</w:t>
            </w:r>
            <w:r>
              <w:rPr>
                <w:rFonts w:eastAsia="Times New Roman" w:cs="Times New Roman"/>
                <w:bCs/>
                <w:sz w:val="20"/>
                <w:szCs w:val="20"/>
              </w:rPr>
              <w:t xml:space="preserve"> recommendations did call for lab test orders to be counted.  Only radiology procedure orders were recommended to be a yes/no attestation.</w:t>
            </w:r>
          </w:p>
          <w:p w:rsidR="00F62495" w:rsidRPr="00322F90" w:rsidRDefault="00F62495" w:rsidP="00F62495">
            <w:pPr>
              <w:spacing w:after="0" w:line="240" w:lineRule="auto"/>
              <w:rPr>
                <w:rFonts w:eastAsia="Times New Roman" w:cs="Times New Roman"/>
                <w:bCs/>
                <w:color w:val="365F91" w:themeColor="accent1" w:themeShade="BF"/>
                <w:sz w:val="10"/>
                <w:szCs w:val="10"/>
              </w:rPr>
            </w:pPr>
          </w:p>
          <w:p w:rsidR="0089118C" w:rsidRPr="00D7704E" w:rsidRDefault="0089118C" w:rsidP="00F62495">
            <w:pPr>
              <w:spacing w:after="0" w:line="240" w:lineRule="auto"/>
              <w:rPr>
                <w:rFonts w:eastAsia="Times New Roman" w:cs="Times New Roman"/>
                <w:b/>
                <w:bCs/>
                <w:sz w:val="20"/>
                <w:szCs w:val="20"/>
              </w:rPr>
            </w:pPr>
          </w:p>
        </w:tc>
      </w:tr>
    </w:tbl>
    <w:p w:rsidR="00F22B7D" w:rsidRDefault="00F22B7D">
      <w:r>
        <w:br w:type="page"/>
      </w:r>
    </w:p>
    <w:tbl>
      <w:tblPr>
        <w:tblW w:w="14580" w:type="dxa"/>
        <w:tblInd w:w="-7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170"/>
        <w:gridCol w:w="3690"/>
        <w:gridCol w:w="3600"/>
        <w:gridCol w:w="6120"/>
      </w:tblGrid>
      <w:tr w:rsidR="00F33E2C" w:rsidRPr="00D7704E">
        <w:trPr>
          <w:trHeight w:val="630"/>
        </w:trPr>
        <w:tc>
          <w:tcPr>
            <w:tcW w:w="1170" w:type="dxa"/>
            <w:shd w:val="clear" w:color="auto" w:fill="286AA0"/>
          </w:tcPr>
          <w:p w:rsidR="00F33E2C" w:rsidRPr="00D7704E" w:rsidRDefault="00893F9A" w:rsidP="00AF0BD8">
            <w:pPr>
              <w:spacing w:after="0" w:line="240" w:lineRule="auto"/>
              <w:jc w:val="center"/>
              <w:rPr>
                <w:rFonts w:ascii="Garamond" w:eastAsia="Times New Roman" w:hAnsi="Garamond" w:cs="Times New Roman"/>
                <w:b/>
                <w:bCs/>
                <w:color w:val="FFFFFF"/>
                <w:sz w:val="20"/>
                <w:szCs w:val="20"/>
              </w:rPr>
            </w:pPr>
            <w:r w:rsidRPr="00D7704E">
              <w:rPr>
                <w:sz w:val="20"/>
                <w:szCs w:val="20"/>
              </w:rPr>
              <w:lastRenderedPageBreak/>
              <w:t xml:space="preserve"> </w:t>
            </w:r>
            <w:r w:rsidR="00AF5053" w:rsidRPr="00D7704E">
              <w:rPr>
                <w:sz w:val="20"/>
                <w:szCs w:val="20"/>
              </w:rPr>
              <w:br w:type="page"/>
            </w:r>
            <w:r w:rsidR="00F33E2C" w:rsidRPr="00D7704E">
              <w:rPr>
                <w:rFonts w:ascii="Garamond" w:eastAsia="Times New Roman" w:hAnsi="Garamond" w:cs="Times New Roman"/>
                <w:b/>
                <w:bCs/>
                <w:color w:val="FFFFFF"/>
                <w:sz w:val="20"/>
                <w:szCs w:val="20"/>
              </w:rPr>
              <w:t>Policy Priority</w:t>
            </w:r>
          </w:p>
        </w:tc>
        <w:tc>
          <w:tcPr>
            <w:tcW w:w="369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12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33E2C" w:rsidRPr="00D7704E">
        <w:trPr>
          <w:trHeight w:val="890"/>
        </w:trPr>
        <w:tc>
          <w:tcPr>
            <w:tcW w:w="1170" w:type="dxa"/>
            <w:vMerge w:val="restart"/>
            <w:shd w:val="clear" w:color="auto" w:fill="auto"/>
          </w:tcPr>
          <w:p w:rsidR="00F33E2C" w:rsidRPr="00D7704E" w:rsidRDefault="00F33E2C"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F33E2C" w:rsidRPr="00D7704E" w:rsidRDefault="00582F5D" w:rsidP="00AF0BD8">
            <w:pPr>
              <w:rPr>
                <w:rFonts w:eastAsia="Times New Roman" w:cs="Times New Roman"/>
                <w:b/>
                <w:bCs/>
                <w:sz w:val="20"/>
                <w:szCs w:val="20"/>
              </w:rPr>
            </w:pPr>
            <w:r w:rsidRPr="00D7704E">
              <w:rPr>
                <w:rFonts w:eastAsia="Times New Roman"/>
                <w:bCs/>
                <w:sz w:val="20"/>
                <w:szCs w:val="20"/>
              </w:rPr>
              <w:t xml:space="preserve">Implement drug-drug and drug-allergy interaction checks </w:t>
            </w:r>
          </w:p>
        </w:tc>
        <w:tc>
          <w:tcPr>
            <w:tcW w:w="3600" w:type="dxa"/>
            <w:tcBorders>
              <w:bottom w:val="single" w:sz="12" w:space="0" w:color="4F81BD" w:themeColor="accent1"/>
            </w:tcBorders>
            <w:shd w:val="clear" w:color="auto" w:fill="auto"/>
            <w:noWrap/>
          </w:tcPr>
          <w:p w:rsidR="00F33E2C" w:rsidRPr="00D7704E" w:rsidRDefault="00F33E2C" w:rsidP="00E26E7E">
            <w:pPr>
              <w:rPr>
                <w:rFonts w:eastAsia="Times New Roman" w:cs="Times New Roman"/>
                <w:bCs/>
                <w:sz w:val="20"/>
                <w:szCs w:val="20"/>
              </w:rPr>
            </w:pPr>
            <w:r w:rsidRPr="00D7704E">
              <w:rPr>
                <w:rFonts w:eastAsia="Times New Roman"/>
                <w:bCs/>
                <w:sz w:val="20"/>
                <w:szCs w:val="20"/>
              </w:rPr>
              <w:t>Employ drug interaction checking (drug-drug, drug-allergy) provider to refine DDI rules</w:t>
            </w:r>
          </w:p>
        </w:tc>
        <w:tc>
          <w:tcPr>
            <w:tcW w:w="6120" w:type="dxa"/>
            <w:tcBorders>
              <w:bottom w:val="single" w:sz="12" w:space="0" w:color="4F81BD" w:themeColor="accent1"/>
            </w:tcBorders>
            <w:shd w:val="clear" w:color="auto" w:fill="auto"/>
            <w:noWrap/>
          </w:tcPr>
          <w:p w:rsidR="00F33E2C" w:rsidRPr="00D7704E" w:rsidRDefault="00F33E2C" w:rsidP="00F33E2C">
            <w:pPr>
              <w:spacing w:after="0" w:line="240" w:lineRule="auto"/>
              <w:rPr>
                <w:rFonts w:eastAsia="Times New Roman" w:cs="Times New Roman"/>
                <w:bCs/>
                <w:sz w:val="20"/>
                <w:szCs w:val="20"/>
              </w:rPr>
            </w:pPr>
            <w:r w:rsidRPr="00D7704E">
              <w:rPr>
                <w:rFonts w:eastAsia="Times New Roman" w:cs="Times New Roman"/>
                <w:b/>
                <w:bCs/>
                <w:sz w:val="20"/>
                <w:szCs w:val="20"/>
              </w:rPr>
              <w:t xml:space="preserve">Consolidated </w:t>
            </w:r>
          </w:p>
          <w:p w:rsidR="00F33E2C" w:rsidRPr="00D7704E" w:rsidRDefault="00F33E2C" w:rsidP="00AF0BD8">
            <w:pPr>
              <w:spacing w:after="0" w:line="240" w:lineRule="auto"/>
              <w:rPr>
                <w:rFonts w:eastAsia="Times New Roman" w:cs="Times New Roman"/>
                <w:bCs/>
                <w:sz w:val="20"/>
                <w:szCs w:val="20"/>
              </w:rPr>
            </w:pPr>
          </w:p>
        </w:tc>
      </w:tr>
      <w:tr w:rsidR="00F33E2C" w:rsidRPr="00D7704E">
        <w:trPr>
          <w:trHeight w:val="375"/>
        </w:trPr>
        <w:tc>
          <w:tcPr>
            <w:tcW w:w="1170" w:type="dxa"/>
            <w:vMerge/>
            <w:vAlign w:val="center"/>
          </w:tcPr>
          <w:p w:rsidR="00F33E2C" w:rsidRPr="00D7704E" w:rsidRDefault="00F33E2C" w:rsidP="00AF0BD8">
            <w:pPr>
              <w:spacing w:after="0" w:line="240" w:lineRule="auto"/>
              <w:rPr>
                <w:rFonts w:eastAsia="Times New Roman" w:cs="Times New Roman"/>
                <w:b/>
                <w:bCs/>
                <w:sz w:val="20"/>
                <w:szCs w:val="20"/>
              </w:rPr>
            </w:pPr>
          </w:p>
        </w:tc>
        <w:tc>
          <w:tcPr>
            <w:tcW w:w="13410" w:type="dxa"/>
            <w:gridSpan w:val="3"/>
            <w:tcBorders>
              <w:top w:val="single" w:sz="12" w:space="0" w:color="4F81BD" w:themeColor="accent1"/>
            </w:tcBorders>
            <w:shd w:val="clear" w:color="000000" w:fill="FFFFFF"/>
          </w:tcPr>
          <w:p w:rsidR="00D8471A" w:rsidRDefault="00D8471A" w:rsidP="00D8471A">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p>
          <w:p w:rsidR="00F33E2C" w:rsidRPr="00D7704E" w:rsidRDefault="00D8471A" w:rsidP="002A0AB3">
            <w:pPr>
              <w:spacing w:after="0" w:line="240" w:lineRule="auto"/>
              <w:rPr>
                <w:rFonts w:eastAsia="Times New Roman" w:cs="Times New Roman"/>
                <w:b/>
                <w:bCs/>
                <w:sz w:val="20"/>
                <w:szCs w:val="20"/>
              </w:rPr>
            </w:pPr>
            <w:r w:rsidRPr="00D7704E">
              <w:rPr>
                <w:rFonts w:eastAsia="Times New Roman" w:cs="Times New Roman"/>
                <w:b/>
                <w:bCs/>
                <w:sz w:val="20"/>
                <w:szCs w:val="20"/>
              </w:rPr>
              <w:t xml:space="preserve"> </w:t>
            </w:r>
            <w:r w:rsidRPr="00D7704E">
              <w:rPr>
                <w:rFonts w:eastAsia="Times New Roman" w:cs="Times New Roman"/>
                <w:bCs/>
                <w:sz w:val="20"/>
                <w:szCs w:val="20"/>
              </w:rPr>
              <w:t>(1) We agree with the consolidation, especially because DDI is still separate in the consolidated objective. (2) We believe DDI deserves special attention because current commercial DDI databases are well known to have high false positives, which contribute to alert fatigue. Providers should be able to revise DDI rules.</w:t>
            </w:r>
          </w:p>
        </w:tc>
      </w:tr>
      <w:tr w:rsidR="00F33E2C" w:rsidRPr="00D7704E">
        <w:trPr>
          <w:trHeight w:val="630"/>
        </w:trPr>
        <w:tc>
          <w:tcPr>
            <w:tcW w:w="1170" w:type="dxa"/>
            <w:shd w:val="clear" w:color="auto" w:fill="286AA0"/>
          </w:tcPr>
          <w:p w:rsidR="00F33E2C" w:rsidRPr="00D7704E" w:rsidRDefault="008B5B67" w:rsidP="00AF0BD8">
            <w:pPr>
              <w:spacing w:after="0" w:line="240" w:lineRule="auto"/>
              <w:jc w:val="center"/>
              <w:rPr>
                <w:rFonts w:ascii="Garamond" w:eastAsia="Times New Roman" w:hAnsi="Garamond" w:cs="Times New Roman"/>
                <w:b/>
                <w:bCs/>
                <w:color w:val="FFFFFF"/>
                <w:sz w:val="20"/>
                <w:szCs w:val="20"/>
              </w:rPr>
            </w:pPr>
            <w:r>
              <w:br w:type="page"/>
            </w:r>
            <w:r w:rsidR="00AF5053" w:rsidRPr="00D7704E">
              <w:rPr>
                <w:sz w:val="20"/>
                <w:szCs w:val="20"/>
              </w:rPr>
              <w:br w:type="page"/>
            </w:r>
            <w:r w:rsidR="00F33E2C" w:rsidRPr="00D7704E">
              <w:rPr>
                <w:rFonts w:ascii="Garamond" w:eastAsia="Times New Roman" w:hAnsi="Garamond" w:cs="Times New Roman"/>
                <w:b/>
                <w:bCs/>
                <w:color w:val="FFFFFF"/>
                <w:sz w:val="20"/>
                <w:szCs w:val="20"/>
              </w:rPr>
              <w:t>Policy Priority</w:t>
            </w:r>
          </w:p>
        </w:tc>
        <w:tc>
          <w:tcPr>
            <w:tcW w:w="369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12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33E2C" w:rsidRPr="00D7704E">
        <w:trPr>
          <w:trHeight w:val="1385"/>
        </w:trPr>
        <w:tc>
          <w:tcPr>
            <w:tcW w:w="1170" w:type="dxa"/>
            <w:vMerge w:val="restart"/>
            <w:shd w:val="clear" w:color="auto" w:fill="auto"/>
          </w:tcPr>
          <w:p w:rsidR="00F33E2C" w:rsidRPr="00D7704E" w:rsidRDefault="00F33E2C"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D24680" w:rsidRPr="00D7704E" w:rsidRDefault="00D24680" w:rsidP="00D24680">
            <w:pPr>
              <w:rPr>
                <w:rFonts w:eastAsia="Times New Roman"/>
                <w:bCs/>
                <w:sz w:val="20"/>
                <w:szCs w:val="20"/>
              </w:rPr>
            </w:pPr>
            <w:r w:rsidRPr="00D7704E">
              <w:rPr>
                <w:rFonts w:eastAsia="Times New Roman"/>
                <w:b/>
                <w:bCs/>
                <w:sz w:val="20"/>
                <w:szCs w:val="20"/>
              </w:rPr>
              <w:t xml:space="preserve">EP only: </w:t>
            </w:r>
            <w:r w:rsidR="00582F5D" w:rsidRPr="00D7704E">
              <w:rPr>
                <w:rFonts w:eastAsia="Times New Roman"/>
                <w:bCs/>
                <w:sz w:val="20"/>
                <w:szCs w:val="20"/>
              </w:rPr>
              <w:t>Generate and transmit more than 40% of all permissible prescriptions electronically</w:t>
            </w:r>
          </w:p>
          <w:p w:rsidR="00F33E2C" w:rsidRPr="00D7704E" w:rsidRDefault="00F33E2C" w:rsidP="00AF0BD8">
            <w:pPr>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D24680" w:rsidRPr="00D7704E" w:rsidRDefault="00D24680" w:rsidP="00D24680">
            <w:pPr>
              <w:rPr>
                <w:rFonts w:eastAsia="Times New Roman"/>
                <w:b/>
                <w:bCs/>
                <w:sz w:val="20"/>
                <w:szCs w:val="20"/>
              </w:rPr>
            </w:pPr>
            <w:r w:rsidRPr="00D7704E">
              <w:rPr>
                <w:rFonts w:eastAsia="Times New Roman"/>
                <w:b/>
                <w:bCs/>
                <w:sz w:val="20"/>
                <w:szCs w:val="20"/>
              </w:rPr>
              <w:t xml:space="preserve">EP: </w:t>
            </w:r>
            <w:r w:rsidRPr="00D7704E">
              <w:rPr>
                <w:rFonts w:eastAsia="Times New Roman"/>
                <w:bCs/>
                <w:sz w:val="20"/>
                <w:szCs w:val="20"/>
              </w:rPr>
              <w:t xml:space="preserve">Increase threshold to </w:t>
            </w:r>
            <w:r w:rsidRPr="00D7704E">
              <w:rPr>
                <w:rFonts w:eastAsia="Times New Roman"/>
                <w:b/>
                <w:bCs/>
                <w:sz w:val="20"/>
                <w:szCs w:val="20"/>
              </w:rPr>
              <w:t>50%</w:t>
            </w:r>
          </w:p>
          <w:p w:rsidR="00F33E2C" w:rsidRPr="00D7704E" w:rsidRDefault="00D24680" w:rsidP="00D24680">
            <w:pPr>
              <w:rPr>
                <w:rFonts w:eastAsia="Times New Roman" w:cs="Times New Roman"/>
                <w:bCs/>
                <w:sz w:val="20"/>
                <w:szCs w:val="20"/>
              </w:rPr>
            </w:pPr>
            <w:r w:rsidRPr="00D7704E">
              <w:rPr>
                <w:rFonts w:eastAsia="Times New Roman"/>
                <w:b/>
                <w:bCs/>
                <w:sz w:val="20"/>
                <w:szCs w:val="20"/>
              </w:rPr>
              <w:t>EH:</w:t>
            </w:r>
            <w:r w:rsidRPr="00D7704E">
              <w:rPr>
                <w:rFonts w:eastAsia="Times New Roman"/>
                <w:bCs/>
                <w:sz w:val="20"/>
                <w:szCs w:val="20"/>
              </w:rPr>
              <w:t xml:space="preserve"> </w:t>
            </w:r>
            <w:r w:rsidR="00582F5D" w:rsidRPr="00D7704E">
              <w:rPr>
                <w:rFonts w:eastAsia="Times New Roman"/>
                <w:bCs/>
                <w:sz w:val="20"/>
                <w:szCs w:val="20"/>
              </w:rPr>
              <w:t>Generate and transmit more than 10% of all hospital discharge orders for permissible prescriptions electronically</w:t>
            </w:r>
          </w:p>
        </w:tc>
        <w:tc>
          <w:tcPr>
            <w:tcW w:w="6120" w:type="dxa"/>
            <w:tcBorders>
              <w:bottom w:val="single" w:sz="12" w:space="0" w:color="4F81BD" w:themeColor="accent1"/>
            </w:tcBorders>
            <w:shd w:val="clear" w:color="auto" w:fill="auto"/>
            <w:noWrap/>
          </w:tcPr>
          <w:p w:rsidR="00B15945" w:rsidRPr="00D7704E" w:rsidRDefault="00B15945" w:rsidP="00B15945">
            <w:pPr>
              <w:spacing w:after="0" w:line="240" w:lineRule="auto"/>
              <w:rPr>
                <w:rFonts w:eastAsia="Times New Roman" w:cs="Times New Roman"/>
                <w:b/>
                <w:bCs/>
                <w:sz w:val="20"/>
                <w:szCs w:val="20"/>
              </w:rPr>
            </w:pPr>
            <w:r w:rsidRPr="00D7704E">
              <w:rPr>
                <w:rFonts w:eastAsia="Times New Roman" w:cs="Times New Roman"/>
                <w:b/>
                <w:bCs/>
                <w:sz w:val="20"/>
                <w:szCs w:val="20"/>
              </w:rPr>
              <w:t xml:space="preserve">EP Objective: </w:t>
            </w:r>
            <w:r w:rsidRPr="00D7704E">
              <w:rPr>
                <w:rFonts w:eastAsia="Times New Roman" w:cs="Times New Roman"/>
                <w:bCs/>
                <w:sz w:val="20"/>
                <w:szCs w:val="20"/>
              </w:rPr>
              <w:t>Generate and transmit permissible prescriptions electronically (</w:t>
            </w:r>
            <w:proofErr w:type="spellStart"/>
            <w:r w:rsidRPr="00D7704E">
              <w:rPr>
                <w:rFonts w:eastAsia="Times New Roman" w:cs="Times New Roman"/>
                <w:bCs/>
                <w:sz w:val="20"/>
                <w:szCs w:val="20"/>
              </w:rPr>
              <w:t>eRx</w:t>
            </w:r>
            <w:proofErr w:type="spellEnd"/>
            <w:r w:rsidRPr="00D7704E">
              <w:rPr>
                <w:rFonts w:eastAsia="Times New Roman" w:cs="Times New Roman"/>
                <w:bCs/>
                <w:sz w:val="20"/>
                <w:szCs w:val="20"/>
              </w:rPr>
              <w:t>)</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Measure: </w:t>
            </w:r>
            <w:r w:rsidRPr="00D7704E">
              <w:rPr>
                <w:rFonts w:eastAsia="Times New Roman" w:cs="Times New Roman"/>
                <w:bCs/>
                <w:sz w:val="20"/>
                <w:szCs w:val="20"/>
              </w:rPr>
              <w:t>More than 65 % of all permissible prescriptions written by the EP are compared to at least one drug formulary and transmitted electronically using Certified EHR Technology.</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EH Objective:</w:t>
            </w:r>
            <w:r w:rsidRPr="00D7704E">
              <w:rPr>
                <w:rFonts w:eastAsia="Times New Roman" w:cs="Times New Roman"/>
                <w:bCs/>
                <w:sz w:val="20"/>
                <w:szCs w:val="20"/>
              </w:rPr>
              <w:t xml:space="preserve"> Generate and transmit permissible discharge prescriptions electronically (</w:t>
            </w:r>
            <w:proofErr w:type="spellStart"/>
            <w:r w:rsidRPr="00D7704E">
              <w:rPr>
                <w:rFonts w:eastAsia="Times New Roman" w:cs="Times New Roman"/>
                <w:bCs/>
                <w:sz w:val="20"/>
                <w:szCs w:val="20"/>
              </w:rPr>
              <w:t>eRx</w:t>
            </w:r>
            <w:proofErr w:type="spellEnd"/>
            <w:r w:rsidRPr="00D7704E">
              <w:rPr>
                <w:rFonts w:eastAsia="Times New Roman" w:cs="Times New Roman"/>
                <w:bCs/>
                <w:sz w:val="20"/>
                <w:szCs w:val="20"/>
              </w:rPr>
              <w:t>)</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EH Measure:</w:t>
            </w:r>
            <w:r w:rsidRPr="00D7704E">
              <w:rPr>
                <w:rFonts w:eastAsia="Times New Roman" w:cs="Times New Roman"/>
                <w:bCs/>
                <w:sz w:val="20"/>
                <w:szCs w:val="20"/>
              </w:rPr>
              <w:t xml:space="preserve"> More than 10% of hospital discharge medication orders for permissible prescriptions (for new or changed prescriptions) are compared to at least one drug formulary and transmitted electronically using Certified EHR Technology</w:t>
            </w:r>
          </w:p>
        </w:tc>
      </w:tr>
      <w:tr w:rsidR="00F33E2C" w:rsidRPr="00D7704E">
        <w:trPr>
          <w:trHeight w:val="375"/>
        </w:trPr>
        <w:tc>
          <w:tcPr>
            <w:tcW w:w="1170" w:type="dxa"/>
            <w:vMerge/>
            <w:vAlign w:val="center"/>
          </w:tcPr>
          <w:p w:rsidR="00F33E2C" w:rsidRPr="00D7704E" w:rsidRDefault="00F33E2C" w:rsidP="00AF0BD8">
            <w:pPr>
              <w:spacing w:after="0" w:line="240" w:lineRule="auto"/>
              <w:rPr>
                <w:rFonts w:eastAsia="Times New Roman" w:cs="Times New Roman"/>
                <w:b/>
                <w:bCs/>
                <w:sz w:val="20"/>
                <w:szCs w:val="20"/>
              </w:rPr>
            </w:pPr>
          </w:p>
        </w:tc>
        <w:tc>
          <w:tcPr>
            <w:tcW w:w="13410" w:type="dxa"/>
            <w:gridSpan w:val="3"/>
            <w:tcBorders>
              <w:top w:val="single" w:sz="12" w:space="0" w:color="4F81BD" w:themeColor="accent1"/>
            </w:tcBorders>
            <w:shd w:val="clear" w:color="000000" w:fill="FFFFFF"/>
          </w:tcPr>
          <w:p w:rsidR="00D8471A" w:rsidRDefault="00D8471A" w:rsidP="00D8471A">
            <w:pPr>
              <w:rPr>
                <w:rFonts w:eastAsia="Times New Roman" w:cs="Times New Roman"/>
                <w:b/>
                <w:bCs/>
                <w:sz w:val="20"/>
                <w:szCs w:val="20"/>
              </w:rPr>
            </w:pPr>
            <w:r w:rsidRPr="00D7704E">
              <w:rPr>
                <w:rFonts w:eastAsia="Times New Roman" w:cs="Times New Roman"/>
                <w:b/>
                <w:bCs/>
                <w:color w:val="365F91" w:themeColor="accent1" w:themeShade="BF"/>
                <w:sz w:val="20"/>
                <w:szCs w:val="20"/>
              </w:rPr>
              <w:t>Comments</w:t>
            </w:r>
            <w:r w:rsidRPr="00D7704E">
              <w:rPr>
                <w:rFonts w:eastAsia="Times New Roman" w:cs="Times New Roman"/>
                <w:b/>
                <w:bCs/>
                <w:sz w:val="20"/>
                <w:szCs w:val="20"/>
              </w:rPr>
              <w:t xml:space="preserve"> </w:t>
            </w:r>
          </w:p>
          <w:p w:rsidR="00F22B7D" w:rsidRPr="00D7704E" w:rsidRDefault="00D8471A" w:rsidP="00D8471A">
            <w:pPr>
              <w:rPr>
                <w:rFonts w:eastAsia="Times New Roman" w:cs="Times New Roman"/>
                <w:b/>
                <w:bCs/>
                <w:sz w:val="20"/>
                <w:szCs w:val="20"/>
              </w:rPr>
            </w:pPr>
            <w:r w:rsidRPr="00D8471A">
              <w:rPr>
                <w:rFonts w:eastAsia="Times New Roman"/>
                <w:bCs/>
                <w:sz w:val="20"/>
                <w:szCs w:val="20"/>
              </w:rPr>
              <w:t>65% may be high due to patient preference and pharmacy capabilities in certain geographies; we recommend 50%.</w:t>
            </w:r>
          </w:p>
        </w:tc>
      </w:tr>
    </w:tbl>
    <w:p w:rsidR="00AF5053" w:rsidRPr="00D7704E" w:rsidRDefault="00AF5053">
      <w:pPr>
        <w:rPr>
          <w:sz w:val="20"/>
          <w:szCs w:val="20"/>
        </w:rPr>
      </w:pPr>
      <w:r w:rsidRPr="00D7704E">
        <w:rPr>
          <w:sz w:val="20"/>
          <w:szCs w:val="20"/>
        </w:rP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6030"/>
      </w:tblGrid>
      <w:tr w:rsidR="00D24680" w:rsidRPr="00D7704E">
        <w:trPr>
          <w:trHeight w:val="630"/>
        </w:trPr>
        <w:tc>
          <w:tcPr>
            <w:tcW w:w="1005"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D24680" w:rsidRPr="00D7704E">
        <w:trPr>
          <w:trHeight w:val="773"/>
        </w:trPr>
        <w:tc>
          <w:tcPr>
            <w:tcW w:w="1005" w:type="dxa"/>
            <w:vMerge w:val="restart"/>
            <w:shd w:val="clear" w:color="auto" w:fill="auto"/>
          </w:tcPr>
          <w:p w:rsidR="00D24680" w:rsidRPr="00D7704E" w:rsidRDefault="00D24680"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582F5D" w:rsidRPr="00D7704E" w:rsidRDefault="00582F5D" w:rsidP="00582F5D">
            <w:pPr>
              <w:rPr>
                <w:rFonts w:eastAsia="Times New Roman"/>
                <w:bCs/>
                <w:sz w:val="20"/>
                <w:szCs w:val="20"/>
              </w:rPr>
            </w:pPr>
            <w:r w:rsidRPr="00D7704E">
              <w:rPr>
                <w:rFonts w:eastAsia="Times New Roman"/>
                <w:bCs/>
                <w:sz w:val="20"/>
                <w:szCs w:val="20"/>
              </w:rPr>
              <w:t>Record demographics as structured data for more than 50% of all unique patients:</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Preferred language</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Gender</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Race</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Ethnicity</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Date of birth</w:t>
            </w:r>
          </w:p>
          <w:p w:rsidR="00D24680" w:rsidRPr="00D7704E" w:rsidRDefault="00582F5D" w:rsidP="00582F5D">
            <w:pPr>
              <w:rPr>
                <w:rFonts w:eastAsia="Times New Roman" w:cs="Times New Roman"/>
                <w:b/>
                <w:bCs/>
                <w:sz w:val="20"/>
                <w:szCs w:val="20"/>
              </w:rPr>
            </w:pPr>
            <w:r w:rsidRPr="00D7704E">
              <w:rPr>
                <w:rFonts w:eastAsia="Times New Roman"/>
                <w:bCs/>
                <w:sz w:val="20"/>
                <w:szCs w:val="20"/>
              </w:rPr>
              <w:t>• (Hospital Only) date and preliminary cause of death in the event of mortality in the eligible hospital or CAH</w:t>
            </w:r>
          </w:p>
        </w:tc>
        <w:tc>
          <w:tcPr>
            <w:tcW w:w="3600" w:type="dxa"/>
            <w:tcBorders>
              <w:bottom w:val="single" w:sz="12" w:space="0" w:color="4F81BD" w:themeColor="accent1"/>
            </w:tcBorders>
            <w:shd w:val="clear" w:color="auto" w:fill="auto"/>
            <w:noWrap/>
          </w:tcPr>
          <w:p w:rsidR="00D24680" w:rsidRPr="00D7704E" w:rsidRDefault="00582F5D" w:rsidP="00D24680">
            <w:pPr>
              <w:rPr>
                <w:rFonts w:eastAsia="Times New Roman" w:cs="Times New Roman"/>
                <w:bCs/>
                <w:sz w:val="20"/>
                <w:szCs w:val="20"/>
              </w:rPr>
            </w:pPr>
            <w:r w:rsidRPr="00D7704E">
              <w:rPr>
                <w:rFonts w:eastAsia="Times New Roman"/>
                <w:bCs/>
                <w:sz w:val="20"/>
                <w:szCs w:val="20"/>
              </w:rPr>
              <w:t>Record demographics for more than 80% of all unique patients seen during the reporting period with the ability to use the data to produce stratified quality reports</w:t>
            </w:r>
          </w:p>
        </w:tc>
        <w:tc>
          <w:tcPr>
            <w:tcW w:w="6030" w:type="dxa"/>
            <w:tcBorders>
              <w:bottom w:val="single" w:sz="12" w:space="0" w:color="4F81BD" w:themeColor="accent1"/>
            </w:tcBorders>
            <w:shd w:val="clear" w:color="auto" w:fill="auto"/>
            <w:noWrap/>
          </w:tcPr>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Record the following demographics:</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Preferred language</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Gender</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Race</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Ethnicity</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Date of birth</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More than 80 percent of all unique patients seen by the EP or admitted to the eligible hospital's or CAH's inpatient or emergency department (POS 21 or 23) have demographics recorded as structured data</w:t>
            </w:r>
          </w:p>
          <w:p w:rsidR="00D24680"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(Hospital Only) date and preliminary cause of death in the event of mortality in the eligible hospital or CAH</w:t>
            </w:r>
          </w:p>
        </w:tc>
      </w:tr>
      <w:tr w:rsidR="00D24680" w:rsidRPr="00D7704E">
        <w:trPr>
          <w:trHeight w:val="375"/>
        </w:trPr>
        <w:tc>
          <w:tcPr>
            <w:tcW w:w="1005" w:type="dxa"/>
            <w:vMerge/>
            <w:vAlign w:val="center"/>
          </w:tcPr>
          <w:p w:rsidR="00D24680" w:rsidRPr="00D7704E" w:rsidRDefault="00D24680"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D24680" w:rsidRDefault="009D0858"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Comments</w:t>
            </w:r>
          </w:p>
          <w:p w:rsidR="00F22B7D" w:rsidRPr="00A44777" w:rsidRDefault="0073390F" w:rsidP="009D0858">
            <w:pPr>
              <w:spacing w:after="0" w:line="240" w:lineRule="auto"/>
              <w:rPr>
                <w:rFonts w:eastAsia="Times New Roman" w:cs="Times New Roman"/>
                <w:bCs/>
                <w:sz w:val="20"/>
                <w:szCs w:val="20"/>
              </w:rPr>
            </w:pPr>
            <w:r w:rsidRPr="00D7704E">
              <w:rPr>
                <w:rFonts w:eastAsia="Times New Roman"/>
                <w:bCs/>
                <w:sz w:val="20"/>
                <w:szCs w:val="20"/>
              </w:rPr>
              <w:t xml:space="preserve">Agree with 80%. Would recommend adoption of CDC demographic standards, which are more granular </w:t>
            </w:r>
            <w:r w:rsidR="00B7784C">
              <w:rPr>
                <w:rFonts w:eastAsia="Times New Roman"/>
                <w:bCs/>
                <w:sz w:val="20"/>
                <w:szCs w:val="20"/>
              </w:rPr>
              <w:t xml:space="preserve">than </w:t>
            </w:r>
            <w:r w:rsidRPr="00D7704E">
              <w:rPr>
                <w:rFonts w:eastAsia="Times New Roman"/>
                <w:bCs/>
                <w:sz w:val="20"/>
                <w:szCs w:val="20"/>
              </w:rPr>
              <w:t>(but can be mapped to) 1997 OMB standards.</w:t>
            </w:r>
          </w:p>
        </w:tc>
      </w:tr>
      <w:tr w:rsidR="00D24680" w:rsidRPr="00D7704E">
        <w:trPr>
          <w:trHeight w:val="630"/>
        </w:trPr>
        <w:tc>
          <w:tcPr>
            <w:tcW w:w="1005"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D24680" w:rsidRPr="00D7704E">
        <w:trPr>
          <w:trHeight w:val="548"/>
        </w:trPr>
        <w:tc>
          <w:tcPr>
            <w:tcW w:w="1005" w:type="dxa"/>
            <w:vMerge w:val="restart"/>
            <w:shd w:val="clear" w:color="auto" w:fill="auto"/>
          </w:tcPr>
          <w:p w:rsidR="00D24680" w:rsidRPr="00D7704E" w:rsidRDefault="00D24680"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D24680" w:rsidRPr="00D7704E" w:rsidRDefault="00582F5D" w:rsidP="00D24680">
            <w:pPr>
              <w:rPr>
                <w:rFonts w:eastAsia="Times New Roman" w:cs="Times New Roman"/>
                <w:b/>
                <w:bCs/>
                <w:sz w:val="20"/>
                <w:szCs w:val="20"/>
              </w:rPr>
            </w:pPr>
            <w:r w:rsidRPr="00D7704E">
              <w:rPr>
                <w:rFonts w:eastAsia="Times New Roman"/>
                <w:bCs/>
                <w:sz w:val="20"/>
                <w:szCs w:val="20"/>
              </w:rPr>
              <w:t>Maintain an up-to-date problem list of current and active diagnoses for more than 80% of all unique patients: have at least one entry or an indication that no problems are known for patient recorded as structured data</w:t>
            </w:r>
          </w:p>
        </w:tc>
        <w:tc>
          <w:tcPr>
            <w:tcW w:w="3600" w:type="dxa"/>
            <w:tcBorders>
              <w:bottom w:val="single" w:sz="12" w:space="0" w:color="4F81BD" w:themeColor="accent1"/>
            </w:tcBorders>
            <w:shd w:val="clear" w:color="auto" w:fill="auto"/>
            <w:noWrap/>
          </w:tcPr>
          <w:p w:rsidR="00D24680" w:rsidRPr="00D7704E" w:rsidRDefault="00D24680" w:rsidP="00D24680">
            <w:pPr>
              <w:rPr>
                <w:rFonts w:eastAsia="Times New Roman" w:cs="Times New Roman"/>
                <w:bCs/>
                <w:sz w:val="20"/>
                <w:szCs w:val="20"/>
              </w:rPr>
            </w:pPr>
            <w:r w:rsidRPr="00D7704E">
              <w:rPr>
                <w:rFonts w:eastAsia="Times New Roman"/>
                <w:bCs/>
                <w:sz w:val="20"/>
                <w:szCs w:val="20"/>
              </w:rPr>
              <w:t>No change</w:t>
            </w:r>
          </w:p>
        </w:tc>
        <w:tc>
          <w:tcPr>
            <w:tcW w:w="6030" w:type="dxa"/>
            <w:tcBorders>
              <w:bottom w:val="single" w:sz="12" w:space="0" w:color="4F81BD" w:themeColor="accent1"/>
            </w:tcBorders>
            <w:shd w:val="clear" w:color="auto" w:fill="auto"/>
            <w:noWrap/>
          </w:tcPr>
          <w:p w:rsidR="00D24680" w:rsidRPr="00D7704E" w:rsidRDefault="00D24680" w:rsidP="00D24680">
            <w:pPr>
              <w:spacing w:after="0" w:line="240" w:lineRule="auto"/>
              <w:rPr>
                <w:rFonts w:eastAsia="Times New Roman" w:cs="Times New Roman"/>
                <w:bCs/>
                <w:sz w:val="20"/>
                <w:szCs w:val="20"/>
              </w:rPr>
            </w:pPr>
            <w:r w:rsidRPr="00D7704E">
              <w:rPr>
                <w:rFonts w:eastAsia="Times New Roman" w:cs="Times New Roman"/>
                <w:b/>
                <w:bCs/>
                <w:sz w:val="20"/>
                <w:szCs w:val="20"/>
              </w:rPr>
              <w:t>Consolidated</w:t>
            </w:r>
            <w:r w:rsidRPr="00D7704E">
              <w:rPr>
                <w:rFonts w:eastAsia="Times New Roman" w:cs="Times New Roman"/>
                <w:bCs/>
                <w:sz w:val="20"/>
                <w:szCs w:val="20"/>
              </w:rPr>
              <w:t xml:space="preserve"> with summary of care </w:t>
            </w:r>
          </w:p>
          <w:p w:rsidR="00D24680" w:rsidRPr="00D7704E" w:rsidRDefault="00D24680" w:rsidP="00AF0BD8">
            <w:pPr>
              <w:spacing w:after="0" w:line="240" w:lineRule="auto"/>
              <w:rPr>
                <w:rFonts w:eastAsia="Times New Roman" w:cs="Times New Roman"/>
                <w:bCs/>
                <w:sz w:val="20"/>
                <w:szCs w:val="20"/>
              </w:rPr>
            </w:pPr>
          </w:p>
        </w:tc>
      </w:tr>
      <w:tr w:rsidR="00D24680" w:rsidRPr="00D7704E">
        <w:trPr>
          <w:trHeight w:val="375"/>
        </w:trPr>
        <w:tc>
          <w:tcPr>
            <w:tcW w:w="1005" w:type="dxa"/>
            <w:vMerge/>
            <w:vAlign w:val="center"/>
          </w:tcPr>
          <w:p w:rsidR="00D24680" w:rsidRPr="00D7704E" w:rsidRDefault="00D24680"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D24680" w:rsidRDefault="009D0858"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Comments</w:t>
            </w:r>
          </w:p>
          <w:p w:rsidR="00F22B7D" w:rsidRPr="00D7704E" w:rsidRDefault="0073390F" w:rsidP="009D0858">
            <w:pPr>
              <w:spacing w:after="0" w:line="240" w:lineRule="auto"/>
              <w:rPr>
                <w:rFonts w:eastAsia="Times New Roman" w:cs="Times New Roman"/>
                <w:b/>
                <w:bCs/>
                <w:sz w:val="20"/>
                <w:szCs w:val="20"/>
              </w:rPr>
            </w:pPr>
            <w:r w:rsidRPr="00D7704E">
              <w:rPr>
                <w:rFonts w:eastAsia="Times New Roman"/>
                <w:bCs/>
                <w:sz w:val="20"/>
                <w:szCs w:val="20"/>
              </w:rPr>
              <w:t xml:space="preserve">We recommend keeping these </w:t>
            </w:r>
            <w:r>
              <w:rPr>
                <w:rFonts w:eastAsia="Times New Roman"/>
                <w:bCs/>
                <w:sz w:val="20"/>
                <w:szCs w:val="20"/>
              </w:rPr>
              <w:t>three</w:t>
            </w:r>
            <w:r w:rsidRPr="00D7704E">
              <w:rPr>
                <w:rFonts w:eastAsia="Times New Roman"/>
                <w:bCs/>
                <w:sz w:val="20"/>
                <w:szCs w:val="20"/>
              </w:rPr>
              <w:t xml:space="preserve"> lists as separate objectives for the following reasons: 1) they were and still will be important motivators for clinicians to enter and maintain accurate lists; 2) the stage 1 requirement is very minimal; we were planning to add more rigorous capabilities</w:t>
            </w:r>
            <w:r w:rsidR="002A0AB3">
              <w:rPr>
                <w:rFonts w:eastAsia="Times New Roman"/>
                <w:bCs/>
                <w:sz w:val="20"/>
                <w:szCs w:val="20"/>
              </w:rPr>
              <w:t xml:space="preserve"> in stage 3</w:t>
            </w:r>
            <w:r w:rsidRPr="00D7704E">
              <w:rPr>
                <w:rFonts w:eastAsia="Times New Roman"/>
                <w:bCs/>
                <w:sz w:val="20"/>
                <w:szCs w:val="20"/>
              </w:rPr>
              <w:t xml:space="preserve"> to facilitate maintaining complete and accurate lists 3)  just having these elements in a transition of care document (which may be difficult or impossible for clinicians to access) does not give the information the visibility it deserves; 4) removing the objectives sends a signal that these 3 items are less important than other items like demographics and vital signs.</w:t>
            </w:r>
          </w:p>
        </w:tc>
      </w:tr>
    </w:tbl>
    <w:p w:rsidR="00D24680" w:rsidRPr="00D7704E" w:rsidRDefault="00D24680">
      <w:pPr>
        <w:rPr>
          <w:sz w:val="20"/>
          <w:szCs w:val="20"/>
        </w:rPr>
      </w:pPr>
    </w:p>
    <w:p w:rsidR="002965F5" w:rsidRDefault="002965F5">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6030"/>
      </w:tblGrid>
      <w:tr w:rsidR="00D24680" w:rsidRPr="00D7704E">
        <w:trPr>
          <w:trHeight w:val="630"/>
        </w:trPr>
        <w:tc>
          <w:tcPr>
            <w:tcW w:w="1005" w:type="dxa"/>
            <w:shd w:val="clear" w:color="auto" w:fill="286AA0"/>
          </w:tcPr>
          <w:p w:rsidR="00D24680" w:rsidRPr="00D7704E" w:rsidRDefault="00582F5D" w:rsidP="00AF0BD8">
            <w:pPr>
              <w:spacing w:after="0" w:line="240" w:lineRule="auto"/>
              <w:jc w:val="center"/>
              <w:rPr>
                <w:rFonts w:ascii="Garamond" w:eastAsia="Times New Roman" w:hAnsi="Garamond" w:cs="Times New Roman"/>
                <w:b/>
                <w:bCs/>
                <w:color w:val="FFFFFF"/>
                <w:sz w:val="20"/>
                <w:szCs w:val="20"/>
              </w:rPr>
            </w:pPr>
            <w:r w:rsidRPr="00D7704E">
              <w:rPr>
                <w:sz w:val="20"/>
                <w:szCs w:val="20"/>
              </w:rPr>
              <w:lastRenderedPageBreak/>
              <w:br w:type="page"/>
            </w:r>
            <w:r w:rsidR="00D24680" w:rsidRPr="00D7704E">
              <w:rPr>
                <w:rFonts w:ascii="Garamond" w:eastAsia="Times New Roman" w:hAnsi="Garamond" w:cs="Times New Roman"/>
                <w:b/>
                <w:bCs/>
                <w:color w:val="FFFFFF"/>
                <w:sz w:val="20"/>
                <w:szCs w:val="20"/>
              </w:rPr>
              <w:t>Policy Priority</w:t>
            </w:r>
          </w:p>
        </w:tc>
        <w:tc>
          <w:tcPr>
            <w:tcW w:w="369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D24680" w:rsidRPr="00D7704E">
        <w:trPr>
          <w:trHeight w:val="773"/>
        </w:trPr>
        <w:tc>
          <w:tcPr>
            <w:tcW w:w="1005" w:type="dxa"/>
            <w:vMerge w:val="restart"/>
            <w:shd w:val="clear" w:color="auto" w:fill="auto"/>
          </w:tcPr>
          <w:p w:rsidR="00D24680" w:rsidRPr="00D7704E" w:rsidRDefault="00D24680"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D24680" w:rsidRPr="00D7704E" w:rsidRDefault="00582F5D" w:rsidP="00AF0BD8">
            <w:pPr>
              <w:rPr>
                <w:rFonts w:eastAsia="Times New Roman" w:cs="Times New Roman"/>
                <w:b/>
                <w:bCs/>
                <w:sz w:val="20"/>
                <w:szCs w:val="20"/>
              </w:rPr>
            </w:pPr>
            <w:r w:rsidRPr="00D7704E">
              <w:rPr>
                <w:rFonts w:eastAsia="Times New Roman"/>
                <w:bCs/>
                <w:sz w:val="20"/>
                <w:szCs w:val="20"/>
              </w:rPr>
              <w:t xml:space="preserve">Maintain active medication list: more than 80% of all unique patients have at least one entry recorded as structured data (or indication that the patient is on no meds) </w:t>
            </w:r>
          </w:p>
        </w:tc>
        <w:tc>
          <w:tcPr>
            <w:tcW w:w="3600" w:type="dxa"/>
            <w:tcBorders>
              <w:bottom w:val="single" w:sz="12" w:space="0" w:color="4F81BD" w:themeColor="accent1"/>
            </w:tcBorders>
            <w:shd w:val="clear" w:color="auto" w:fill="auto"/>
            <w:noWrap/>
          </w:tcPr>
          <w:p w:rsidR="00D24680" w:rsidRPr="00D7704E" w:rsidRDefault="00D24680" w:rsidP="00AF0BD8">
            <w:pPr>
              <w:rPr>
                <w:rFonts w:eastAsia="Times New Roman" w:cs="Times New Roman"/>
                <w:bCs/>
                <w:sz w:val="20"/>
                <w:szCs w:val="20"/>
              </w:rPr>
            </w:pPr>
            <w:r w:rsidRPr="00D7704E">
              <w:rPr>
                <w:rFonts w:eastAsia="Times New Roman"/>
                <w:bCs/>
                <w:sz w:val="20"/>
                <w:szCs w:val="20"/>
              </w:rPr>
              <w:t>No change</w:t>
            </w:r>
          </w:p>
        </w:tc>
        <w:tc>
          <w:tcPr>
            <w:tcW w:w="6030" w:type="dxa"/>
            <w:tcBorders>
              <w:bottom w:val="single" w:sz="12" w:space="0" w:color="4F81BD" w:themeColor="accent1"/>
            </w:tcBorders>
            <w:shd w:val="clear" w:color="auto" w:fill="auto"/>
            <w:noWrap/>
          </w:tcPr>
          <w:p w:rsidR="00D24680" w:rsidRPr="00D7704E" w:rsidRDefault="00D24680" w:rsidP="00AF0BD8">
            <w:pPr>
              <w:spacing w:after="0" w:line="240" w:lineRule="auto"/>
              <w:rPr>
                <w:rFonts w:eastAsia="Times New Roman" w:cs="Times New Roman"/>
                <w:bCs/>
                <w:sz w:val="20"/>
                <w:szCs w:val="20"/>
              </w:rPr>
            </w:pPr>
            <w:r w:rsidRPr="00D7704E">
              <w:rPr>
                <w:rFonts w:eastAsia="Times New Roman" w:cs="Times New Roman"/>
                <w:b/>
                <w:bCs/>
                <w:sz w:val="20"/>
                <w:szCs w:val="20"/>
              </w:rPr>
              <w:t>Consolidated</w:t>
            </w:r>
            <w:r w:rsidRPr="00D7704E">
              <w:rPr>
                <w:rFonts w:eastAsia="Times New Roman" w:cs="Times New Roman"/>
                <w:bCs/>
                <w:sz w:val="20"/>
                <w:szCs w:val="20"/>
              </w:rPr>
              <w:t xml:space="preserve"> with summary of care </w:t>
            </w:r>
          </w:p>
          <w:p w:rsidR="00D24680" w:rsidRPr="00D7704E" w:rsidRDefault="00D24680" w:rsidP="00AF0BD8">
            <w:pPr>
              <w:spacing w:after="0" w:line="240" w:lineRule="auto"/>
              <w:rPr>
                <w:rFonts w:eastAsia="Times New Roman" w:cs="Times New Roman"/>
                <w:bCs/>
                <w:sz w:val="20"/>
                <w:szCs w:val="20"/>
              </w:rPr>
            </w:pPr>
          </w:p>
        </w:tc>
      </w:tr>
      <w:tr w:rsidR="00D24680" w:rsidRPr="00D7704E">
        <w:trPr>
          <w:trHeight w:val="375"/>
        </w:trPr>
        <w:tc>
          <w:tcPr>
            <w:tcW w:w="1005" w:type="dxa"/>
            <w:vMerge/>
            <w:vAlign w:val="center"/>
          </w:tcPr>
          <w:p w:rsidR="00D24680" w:rsidRPr="00D7704E" w:rsidRDefault="00D24680"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73390F" w:rsidRDefault="00D24680"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 </w:t>
            </w:r>
            <w:r w:rsidR="009D0858" w:rsidRPr="00D7704E">
              <w:rPr>
                <w:rFonts w:eastAsia="Times New Roman" w:cs="Times New Roman"/>
                <w:b/>
                <w:bCs/>
                <w:color w:val="365F91" w:themeColor="accent1" w:themeShade="BF"/>
                <w:sz w:val="20"/>
                <w:szCs w:val="20"/>
              </w:rPr>
              <w:t>Comments</w:t>
            </w:r>
          </w:p>
          <w:p w:rsidR="00D24680" w:rsidRPr="00D7704E" w:rsidRDefault="0073390F" w:rsidP="009D0858">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 xml:space="preserve"> </w:t>
            </w:r>
            <w:r w:rsidRPr="00D7704E">
              <w:rPr>
                <w:rFonts w:eastAsia="Times New Roman"/>
                <w:bCs/>
                <w:sz w:val="20"/>
                <w:szCs w:val="20"/>
              </w:rPr>
              <w:t>We recommend keeping these 3 lists as separate objectives for the following reasons: 1) they were and still will be important motivators for clinicians to enter and maintain accurate lists; 2) the stage 1 requirement is very minimal; we were planning to add more rigorous capabilities</w:t>
            </w:r>
            <w:r w:rsidR="002A0AB3">
              <w:rPr>
                <w:rFonts w:eastAsia="Times New Roman"/>
                <w:bCs/>
                <w:sz w:val="20"/>
                <w:szCs w:val="20"/>
              </w:rPr>
              <w:t xml:space="preserve"> in stage 3</w:t>
            </w:r>
            <w:r w:rsidRPr="00D7704E">
              <w:rPr>
                <w:rFonts w:eastAsia="Times New Roman"/>
                <w:bCs/>
                <w:sz w:val="20"/>
                <w:szCs w:val="20"/>
              </w:rPr>
              <w:t xml:space="preserve"> to facilitate maintaining complete and accurate lists 3)  just having these elements in a transition of care document (which may be difficult or impossible for clinicians to access) does not give the information the visibility it deserves; 4) removing the objectives sends a signal that these 3 items are less important than other items like demographics and vital signs.</w:t>
            </w:r>
          </w:p>
        </w:tc>
      </w:tr>
      <w:tr w:rsidR="00D24680" w:rsidRPr="00D7704E">
        <w:trPr>
          <w:trHeight w:val="630"/>
        </w:trPr>
        <w:tc>
          <w:tcPr>
            <w:tcW w:w="1005"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D24680" w:rsidRPr="00D7704E">
        <w:trPr>
          <w:trHeight w:val="773"/>
        </w:trPr>
        <w:tc>
          <w:tcPr>
            <w:tcW w:w="1005" w:type="dxa"/>
            <w:vMerge w:val="restart"/>
            <w:shd w:val="clear" w:color="auto" w:fill="auto"/>
          </w:tcPr>
          <w:p w:rsidR="00D24680" w:rsidRPr="00D7704E" w:rsidRDefault="00D24680"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D24680" w:rsidRPr="00D7704E" w:rsidRDefault="00582F5D" w:rsidP="00D24680">
            <w:pPr>
              <w:rPr>
                <w:rFonts w:eastAsia="Times New Roman" w:cs="Times New Roman"/>
                <w:b/>
                <w:bCs/>
                <w:sz w:val="20"/>
                <w:szCs w:val="20"/>
              </w:rPr>
            </w:pPr>
            <w:r w:rsidRPr="00D7704E">
              <w:rPr>
                <w:rFonts w:eastAsia="Times New Roman"/>
                <w:bCs/>
                <w:sz w:val="20"/>
                <w:szCs w:val="20"/>
              </w:rPr>
              <w:t>Maintain active medication allergy list: More than 80% of all unique patients seen during the reporting period have at least one entry (or indication that the patient has no known medication allergies) recorded as structured data</w:t>
            </w:r>
          </w:p>
        </w:tc>
        <w:tc>
          <w:tcPr>
            <w:tcW w:w="3600" w:type="dxa"/>
            <w:tcBorders>
              <w:bottom w:val="single" w:sz="12" w:space="0" w:color="4F81BD" w:themeColor="accent1"/>
            </w:tcBorders>
            <w:shd w:val="clear" w:color="auto" w:fill="auto"/>
            <w:noWrap/>
          </w:tcPr>
          <w:p w:rsidR="00D24680" w:rsidRPr="00D7704E" w:rsidRDefault="00D24680" w:rsidP="00AF0BD8">
            <w:pPr>
              <w:rPr>
                <w:rFonts w:eastAsia="Times New Roman" w:cs="Times New Roman"/>
                <w:bCs/>
                <w:sz w:val="20"/>
                <w:szCs w:val="20"/>
              </w:rPr>
            </w:pPr>
            <w:r w:rsidRPr="00D7704E">
              <w:rPr>
                <w:rFonts w:eastAsia="Times New Roman"/>
                <w:bCs/>
                <w:sz w:val="20"/>
                <w:szCs w:val="20"/>
              </w:rPr>
              <w:t>No change</w:t>
            </w:r>
          </w:p>
        </w:tc>
        <w:tc>
          <w:tcPr>
            <w:tcW w:w="6030" w:type="dxa"/>
            <w:tcBorders>
              <w:bottom w:val="single" w:sz="12" w:space="0" w:color="4F81BD" w:themeColor="accent1"/>
            </w:tcBorders>
            <w:shd w:val="clear" w:color="auto" w:fill="auto"/>
            <w:noWrap/>
          </w:tcPr>
          <w:p w:rsidR="00D24680" w:rsidRPr="00D7704E" w:rsidRDefault="00D24680" w:rsidP="00AF0BD8">
            <w:pPr>
              <w:spacing w:after="0" w:line="240" w:lineRule="auto"/>
              <w:rPr>
                <w:rFonts w:eastAsia="Times New Roman" w:cs="Times New Roman"/>
                <w:bCs/>
                <w:sz w:val="20"/>
                <w:szCs w:val="20"/>
              </w:rPr>
            </w:pPr>
            <w:r w:rsidRPr="00D7704E">
              <w:rPr>
                <w:rFonts w:eastAsia="Times New Roman" w:cs="Times New Roman"/>
                <w:b/>
                <w:bCs/>
                <w:sz w:val="20"/>
                <w:szCs w:val="20"/>
              </w:rPr>
              <w:t>Consolidated</w:t>
            </w:r>
            <w:r w:rsidRPr="00D7704E">
              <w:rPr>
                <w:rFonts w:eastAsia="Times New Roman" w:cs="Times New Roman"/>
                <w:bCs/>
                <w:sz w:val="20"/>
                <w:szCs w:val="20"/>
              </w:rPr>
              <w:t xml:space="preserve"> with summary of care </w:t>
            </w:r>
          </w:p>
          <w:p w:rsidR="00D24680" w:rsidRPr="00D7704E" w:rsidRDefault="00D24680" w:rsidP="00AF0BD8">
            <w:pPr>
              <w:spacing w:after="0" w:line="240" w:lineRule="auto"/>
              <w:rPr>
                <w:rFonts w:eastAsia="Times New Roman" w:cs="Times New Roman"/>
                <w:bCs/>
                <w:sz w:val="20"/>
                <w:szCs w:val="20"/>
              </w:rPr>
            </w:pPr>
          </w:p>
        </w:tc>
      </w:tr>
      <w:tr w:rsidR="00D24680" w:rsidRPr="00D7704E">
        <w:trPr>
          <w:trHeight w:val="375"/>
        </w:trPr>
        <w:tc>
          <w:tcPr>
            <w:tcW w:w="1005" w:type="dxa"/>
            <w:vMerge/>
            <w:vAlign w:val="center"/>
          </w:tcPr>
          <w:p w:rsidR="00D24680" w:rsidRPr="00D7704E" w:rsidRDefault="00D24680"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D24680" w:rsidRDefault="009D0858"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Comments</w:t>
            </w:r>
          </w:p>
          <w:p w:rsidR="00A44777" w:rsidRPr="00A44777" w:rsidRDefault="0073390F" w:rsidP="009D0858">
            <w:pPr>
              <w:spacing w:after="0" w:line="240" w:lineRule="auto"/>
              <w:rPr>
                <w:rFonts w:eastAsia="Times New Roman" w:cs="Times New Roman"/>
                <w:bCs/>
                <w:sz w:val="20"/>
                <w:szCs w:val="20"/>
              </w:rPr>
            </w:pPr>
            <w:r w:rsidRPr="00D7704E">
              <w:rPr>
                <w:rFonts w:eastAsia="Times New Roman"/>
                <w:bCs/>
                <w:sz w:val="20"/>
                <w:szCs w:val="20"/>
              </w:rPr>
              <w:t xml:space="preserve">We recommend keeping these 3 lists as separate objectives for the following reasons: 1) they were and still will be important motivators for clinicians to enter and maintain accurate lists; 2) the stage 1 requirement is very minimal; we were planning to add more rigorous capabilities </w:t>
            </w:r>
            <w:r w:rsidR="002A0AB3">
              <w:rPr>
                <w:rFonts w:eastAsia="Times New Roman"/>
                <w:bCs/>
                <w:sz w:val="20"/>
                <w:szCs w:val="20"/>
              </w:rPr>
              <w:t>in stage 3</w:t>
            </w:r>
            <w:r w:rsidR="002A0AB3" w:rsidRPr="00D7704E">
              <w:rPr>
                <w:rFonts w:eastAsia="Times New Roman"/>
                <w:bCs/>
                <w:sz w:val="20"/>
                <w:szCs w:val="20"/>
              </w:rPr>
              <w:t xml:space="preserve"> </w:t>
            </w:r>
            <w:r w:rsidRPr="00D7704E">
              <w:rPr>
                <w:rFonts w:eastAsia="Times New Roman"/>
                <w:bCs/>
                <w:sz w:val="20"/>
                <w:szCs w:val="20"/>
              </w:rPr>
              <w:t>to facilitate maintaining complete and accurate lists 3)  just having these elements in a transition of care document (which may be difficult or impossible for clinicians to access) does not give the information the visibility it deserves; 4) removing the objectives sends a signal that these 3 items are less important than other items like demographics and vital signs.</w:t>
            </w:r>
          </w:p>
        </w:tc>
      </w:tr>
    </w:tbl>
    <w:p w:rsidR="00D24680" w:rsidRPr="00D7704E" w:rsidRDefault="00D24680">
      <w:pPr>
        <w:rPr>
          <w:sz w:val="20"/>
          <w:szCs w:val="20"/>
        </w:rPr>
      </w:pPr>
    </w:p>
    <w:p w:rsidR="00AF5053" w:rsidRPr="00D7704E" w:rsidRDefault="00AF5053">
      <w:pPr>
        <w:rPr>
          <w:sz w:val="20"/>
          <w:szCs w:val="20"/>
        </w:rPr>
      </w:pPr>
      <w:r w:rsidRPr="00D7704E">
        <w:rPr>
          <w:sz w:val="20"/>
          <w:szCs w:val="20"/>
        </w:rP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6030"/>
      </w:tblGrid>
      <w:tr w:rsidR="00D24680" w:rsidRPr="00D7704E">
        <w:trPr>
          <w:trHeight w:val="630"/>
        </w:trPr>
        <w:tc>
          <w:tcPr>
            <w:tcW w:w="1005"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D24680" w:rsidRPr="00D7704E">
        <w:trPr>
          <w:trHeight w:val="773"/>
        </w:trPr>
        <w:tc>
          <w:tcPr>
            <w:tcW w:w="1005" w:type="dxa"/>
            <w:vMerge w:val="restart"/>
            <w:shd w:val="clear" w:color="auto" w:fill="auto"/>
          </w:tcPr>
          <w:p w:rsidR="00D24680" w:rsidRPr="00D7704E" w:rsidRDefault="00D24680"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582F5D" w:rsidRPr="00D7704E" w:rsidRDefault="00582F5D" w:rsidP="00582F5D">
            <w:pPr>
              <w:rPr>
                <w:rFonts w:eastAsia="Times New Roman"/>
                <w:bCs/>
                <w:sz w:val="20"/>
                <w:szCs w:val="20"/>
              </w:rPr>
            </w:pPr>
            <w:r w:rsidRPr="00D7704E">
              <w:rPr>
                <w:rFonts w:eastAsia="Times New Roman"/>
                <w:bCs/>
                <w:sz w:val="20"/>
                <w:szCs w:val="20"/>
              </w:rPr>
              <w:t>Record and chart changes in vital signs: more than 50% of all unique patients age 2 and over have vital signs recorded as structured data</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Height</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Weight</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Blood pressure</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Calculate and display BMI</w:t>
            </w:r>
          </w:p>
          <w:p w:rsidR="00D24680" w:rsidRPr="00D7704E" w:rsidRDefault="00582F5D" w:rsidP="00582F5D">
            <w:pPr>
              <w:spacing w:after="0" w:line="240" w:lineRule="auto"/>
              <w:rPr>
                <w:rFonts w:eastAsia="Times New Roman" w:cs="Times New Roman"/>
                <w:b/>
                <w:bCs/>
                <w:sz w:val="20"/>
                <w:szCs w:val="20"/>
              </w:rPr>
            </w:pPr>
            <w:r w:rsidRPr="00D7704E">
              <w:rPr>
                <w:rFonts w:eastAsia="Times New Roman" w:cs="Times New Roman"/>
                <w:bCs/>
                <w:sz w:val="20"/>
                <w:szCs w:val="20"/>
              </w:rPr>
              <w:t>• Plot and display growth charts for children 2-20 years, including BMI</w:t>
            </w:r>
          </w:p>
        </w:tc>
        <w:tc>
          <w:tcPr>
            <w:tcW w:w="3600" w:type="dxa"/>
            <w:tcBorders>
              <w:bottom w:val="single" w:sz="12" w:space="0" w:color="4F81BD" w:themeColor="accent1"/>
            </w:tcBorders>
            <w:shd w:val="clear" w:color="auto" w:fill="auto"/>
            <w:noWrap/>
          </w:tcPr>
          <w:p w:rsidR="00582F5D" w:rsidRPr="00D7704E" w:rsidRDefault="00582F5D" w:rsidP="00582F5D">
            <w:pPr>
              <w:spacing w:after="0" w:line="240" w:lineRule="auto"/>
              <w:rPr>
                <w:rFonts w:eastAsia="Times New Roman"/>
                <w:bCs/>
                <w:sz w:val="20"/>
                <w:szCs w:val="20"/>
              </w:rPr>
            </w:pPr>
            <w:r w:rsidRPr="00D7704E">
              <w:rPr>
                <w:rFonts w:eastAsia="Times New Roman"/>
                <w:bCs/>
                <w:sz w:val="20"/>
                <w:szCs w:val="20"/>
              </w:rPr>
              <w:t xml:space="preserve">Record and chart vital signs: more than 80% of all unique patients  seen during the reporting period age 2 and over have vital signs recorded as structured data: </w:t>
            </w:r>
          </w:p>
          <w:p w:rsidR="00D24680" w:rsidRPr="00D7704E" w:rsidRDefault="00D24680" w:rsidP="00582F5D">
            <w:pPr>
              <w:spacing w:after="0" w:line="240" w:lineRule="auto"/>
              <w:rPr>
                <w:rFonts w:eastAsia="Times New Roman" w:cs="Times New Roman"/>
                <w:bCs/>
                <w:sz w:val="20"/>
                <w:szCs w:val="20"/>
              </w:rPr>
            </w:pPr>
            <w:r w:rsidRPr="00D7704E">
              <w:rPr>
                <w:rFonts w:eastAsia="Times New Roman" w:cs="Times New Roman"/>
                <w:bCs/>
                <w:sz w:val="20"/>
                <w:szCs w:val="20"/>
              </w:rPr>
              <w:t>• Height</w:t>
            </w:r>
          </w:p>
          <w:p w:rsidR="00D24680" w:rsidRPr="00D7704E" w:rsidRDefault="00D24680" w:rsidP="00582F5D">
            <w:pPr>
              <w:spacing w:after="0" w:line="240" w:lineRule="auto"/>
              <w:rPr>
                <w:rFonts w:eastAsia="Times New Roman" w:cs="Times New Roman"/>
                <w:bCs/>
                <w:sz w:val="20"/>
                <w:szCs w:val="20"/>
              </w:rPr>
            </w:pPr>
            <w:r w:rsidRPr="00D7704E">
              <w:rPr>
                <w:rFonts w:eastAsia="Times New Roman" w:cs="Times New Roman"/>
                <w:bCs/>
                <w:sz w:val="20"/>
                <w:szCs w:val="20"/>
              </w:rPr>
              <w:t>• Weight</w:t>
            </w:r>
          </w:p>
          <w:p w:rsidR="00D24680" w:rsidRPr="00D7704E" w:rsidRDefault="00D24680" w:rsidP="00582F5D">
            <w:pPr>
              <w:spacing w:after="0" w:line="240" w:lineRule="auto"/>
              <w:rPr>
                <w:rFonts w:eastAsia="Times New Roman" w:cs="Times New Roman"/>
                <w:bCs/>
                <w:sz w:val="20"/>
                <w:szCs w:val="20"/>
              </w:rPr>
            </w:pPr>
            <w:r w:rsidRPr="00D7704E">
              <w:rPr>
                <w:rFonts w:eastAsia="Times New Roman" w:cs="Times New Roman"/>
                <w:bCs/>
                <w:sz w:val="20"/>
                <w:szCs w:val="20"/>
              </w:rPr>
              <w:t>• Blood pressure (age 3 and over)</w:t>
            </w:r>
          </w:p>
          <w:p w:rsidR="00D24680" w:rsidRPr="00D7704E" w:rsidRDefault="00D24680" w:rsidP="00582F5D">
            <w:pPr>
              <w:spacing w:after="0" w:line="240" w:lineRule="auto"/>
              <w:rPr>
                <w:rFonts w:eastAsia="Times New Roman" w:cs="Times New Roman"/>
                <w:bCs/>
                <w:sz w:val="20"/>
                <w:szCs w:val="20"/>
              </w:rPr>
            </w:pPr>
            <w:r w:rsidRPr="00D7704E">
              <w:rPr>
                <w:rFonts w:eastAsia="Times New Roman" w:cs="Times New Roman"/>
                <w:bCs/>
                <w:sz w:val="20"/>
                <w:szCs w:val="20"/>
              </w:rPr>
              <w:t>• Calculate and display BMI</w:t>
            </w:r>
          </w:p>
          <w:p w:rsidR="00D24680" w:rsidRPr="00D7704E" w:rsidRDefault="00D24680" w:rsidP="00582F5D">
            <w:pPr>
              <w:spacing w:after="0" w:line="240" w:lineRule="auto"/>
              <w:rPr>
                <w:rFonts w:eastAsia="Times New Roman" w:cs="Times New Roman"/>
                <w:bCs/>
                <w:sz w:val="20"/>
                <w:szCs w:val="20"/>
              </w:rPr>
            </w:pPr>
            <w:r w:rsidRPr="00D7704E">
              <w:rPr>
                <w:rFonts w:eastAsia="Times New Roman" w:cs="Times New Roman"/>
                <w:bCs/>
                <w:sz w:val="20"/>
                <w:szCs w:val="20"/>
              </w:rPr>
              <w:t xml:space="preserve">• Plot and display growth charts for patients 0-20 years, including BMI </w:t>
            </w:r>
          </w:p>
        </w:tc>
        <w:tc>
          <w:tcPr>
            <w:tcW w:w="6030" w:type="dxa"/>
            <w:tcBorders>
              <w:bottom w:val="single" w:sz="12" w:space="0" w:color="4F81BD" w:themeColor="accent1"/>
            </w:tcBorders>
            <w:shd w:val="clear" w:color="auto" w:fill="auto"/>
            <w:noWrap/>
          </w:tcPr>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Record and chart changes in vital signs:</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Height/Length</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Weight</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Blood pressure (age 3 and over)</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Calculate and display BMI</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Plot and display growth charts for patients 0-20 years, including BMI</w:t>
            </w:r>
          </w:p>
          <w:p w:rsidR="00D24680"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 xml:space="preserve">Measure: </w:t>
            </w:r>
            <w:r w:rsidRPr="00D7704E">
              <w:rPr>
                <w:rFonts w:eastAsia="Times New Roman" w:cs="Times New Roman"/>
                <w:bCs/>
                <w:sz w:val="20"/>
                <w:szCs w:val="20"/>
              </w:rPr>
              <w:t>More than 80 percent of all unique patients seen by the EP or admitted to the eligible hospital's or CAH's inpatient or emergency department (POS 21 or 23), blood pressure (for patients age 3 and over only) and height/length and weight (for all ages) recoded as structured data</w:t>
            </w:r>
          </w:p>
        </w:tc>
      </w:tr>
      <w:tr w:rsidR="00D24680" w:rsidRPr="00D7704E">
        <w:trPr>
          <w:trHeight w:val="375"/>
        </w:trPr>
        <w:tc>
          <w:tcPr>
            <w:tcW w:w="1005" w:type="dxa"/>
            <w:vMerge/>
            <w:vAlign w:val="center"/>
          </w:tcPr>
          <w:p w:rsidR="00D24680" w:rsidRPr="00D7704E" w:rsidRDefault="00D24680"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D24680" w:rsidRPr="00D7704E" w:rsidRDefault="009D0858" w:rsidP="00A44777">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Comments</w:t>
            </w:r>
            <w:r w:rsidR="002965F5">
              <w:rPr>
                <w:rFonts w:eastAsia="Times New Roman" w:cs="Times New Roman"/>
                <w:b/>
                <w:bCs/>
                <w:color w:val="365F91" w:themeColor="accent1" w:themeShade="BF"/>
                <w:sz w:val="20"/>
                <w:szCs w:val="20"/>
              </w:rPr>
              <w:t>:</w:t>
            </w:r>
            <w:r w:rsidR="00A44777">
              <w:rPr>
                <w:rFonts w:eastAsia="Times New Roman" w:cs="Times New Roman"/>
                <w:b/>
                <w:bCs/>
                <w:color w:val="365F91" w:themeColor="accent1" w:themeShade="BF"/>
                <w:sz w:val="20"/>
                <w:szCs w:val="20"/>
              </w:rPr>
              <w:t xml:space="preserve"> </w:t>
            </w:r>
            <w:r w:rsidR="00F22B7D">
              <w:rPr>
                <w:rFonts w:eastAsia="Times New Roman" w:cs="Times New Roman"/>
                <w:b/>
                <w:bCs/>
                <w:color w:val="365F91" w:themeColor="accent1" w:themeShade="BF"/>
                <w:sz w:val="20"/>
                <w:szCs w:val="20"/>
              </w:rPr>
              <w:t xml:space="preserve"> </w:t>
            </w:r>
            <w:r w:rsidR="00F22B7D" w:rsidRPr="002965F5">
              <w:rPr>
                <w:rFonts w:eastAsia="Times New Roman" w:cs="Times New Roman"/>
                <w:bCs/>
                <w:sz w:val="20"/>
                <w:szCs w:val="20"/>
              </w:rPr>
              <w:t>Agree.</w:t>
            </w:r>
          </w:p>
        </w:tc>
      </w:tr>
      <w:tr w:rsidR="00C26F4B" w:rsidRPr="00D7704E">
        <w:trPr>
          <w:trHeight w:val="630"/>
        </w:trPr>
        <w:tc>
          <w:tcPr>
            <w:tcW w:w="1005" w:type="dxa"/>
            <w:shd w:val="clear" w:color="auto" w:fill="286AA0"/>
          </w:tcPr>
          <w:p w:rsidR="00C26F4B" w:rsidRPr="00D7704E" w:rsidRDefault="00AF5053" w:rsidP="00AF0BD8">
            <w:pPr>
              <w:spacing w:after="0" w:line="240" w:lineRule="auto"/>
              <w:jc w:val="center"/>
              <w:rPr>
                <w:rFonts w:ascii="Garamond" w:eastAsia="Times New Roman" w:hAnsi="Garamond" w:cs="Times New Roman"/>
                <w:b/>
                <w:bCs/>
                <w:color w:val="FFFFFF"/>
                <w:sz w:val="20"/>
                <w:szCs w:val="20"/>
              </w:rPr>
            </w:pPr>
            <w:r w:rsidRPr="00D7704E">
              <w:rPr>
                <w:sz w:val="20"/>
                <w:szCs w:val="20"/>
              </w:rPr>
              <w:br w:type="page"/>
            </w:r>
            <w:r w:rsidR="00C26F4B" w:rsidRPr="00D7704E">
              <w:rPr>
                <w:rFonts w:ascii="Garamond" w:eastAsia="Times New Roman" w:hAnsi="Garamond" w:cs="Times New Roman"/>
                <w:b/>
                <w:bCs/>
                <w:color w:val="FFFFFF"/>
                <w:sz w:val="20"/>
                <w:szCs w:val="20"/>
              </w:rPr>
              <w:t>Policy Priority</w:t>
            </w:r>
          </w:p>
        </w:tc>
        <w:tc>
          <w:tcPr>
            <w:tcW w:w="369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trPr>
          <w:trHeight w:val="773"/>
        </w:trPr>
        <w:tc>
          <w:tcPr>
            <w:tcW w:w="1005" w:type="dxa"/>
            <w:vMerge w:val="restart"/>
            <w:shd w:val="clear" w:color="auto" w:fill="auto"/>
          </w:tcPr>
          <w:p w:rsidR="00C26F4B" w:rsidRPr="00D7704E" w:rsidRDefault="00C26F4B"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C26F4B" w:rsidRPr="00D7704E" w:rsidRDefault="00805FEB" w:rsidP="00C26F4B">
            <w:pPr>
              <w:rPr>
                <w:rFonts w:eastAsia="Times New Roman" w:cs="Times New Roman"/>
                <w:b/>
                <w:bCs/>
                <w:sz w:val="20"/>
                <w:szCs w:val="20"/>
              </w:rPr>
            </w:pPr>
            <w:r w:rsidRPr="00D7704E">
              <w:rPr>
                <w:rFonts w:eastAsia="Times New Roman"/>
                <w:bCs/>
                <w:sz w:val="20"/>
                <w:szCs w:val="20"/>
              </w:rPr>
              <w:t>Record smoking status for patients 13 years old and older: more than 50% of all unique patients seen during the reporting period 13 years or older have smoking status recorded as structured data</w:t>
            </w:r>
          </w:p>
        </w:tc>
        <w:tc>
          <w:tcPr>
            <w:tcW w:w="3600" w:type="dxa"/>
            <w:tcBorders>
              <w:bottom w:val="single" w:sz="12" w:space="0" w:color="4F81BD" w:themeColor="accent1"/>
            </w:tcBorders>
            <w:shd w:val="clear" w:color="auto" w:fill="auto"/>
            <w:noWrap/>
          </w:tcPr>
          <w:p w:rsidR="00C26F4B" w:rsidRPr="00D7704E" w:rsidRDefault="00C26F4B" w:rsidP="00C26F4B">
            <w:pPr>
              <w:rPr>
                <w:rFonts w:eastAsia="Times New Roman"/>
                <w:bCs/>
                <w:sz w:val="20"/>
                <w:szCs w:val="20"/>
              </w:rPr>
            </w:pPr>
            <w:r w:rsidRPr="00D7704E">
              <w:rPr>
                <w:rFonts w:eastAsia="Times New Roman"/>
                <w:bCs/>
                <w:sz w:val="20"/>
                <w:szCs w:val="20"/>
              </w:rPr>
              <w:t xml:space="preserve">Increase threshold to </w:t>
            </w:r>
            <w:r w:rsidRPr="00D7704E">
              <w:rPr>
                <w:rFonts w:eastAsia="Times New Roman"/>
                <w:b/>
                <w:bCs/>
                <w:sz w:val="20"/>
                <w:szCs w:val="20"/>
              </w:rPr>
              <w:t>80%</w:t>
            </w:r>
            <w:r w:rsidRPr="00D7704E">
              <w:rPr>
                <w:rFonts w:eastAsia="Times New Roman"/>
                <w:bCs/>
                <w:sz w:val="20"/>
                <w:szCs w:val="20"/>
              </w:rPr>
              <w:t xml:space="preserve"> </w:t>
            </w:r>
          </w:p>
          <w:p w:rsidR="00C26F4B" w:rsidRPr="00D7704E" w:rsidRDefault="00C26F4B" w:rsidP="00AF0BD8">
            <w:pPr>
              <w:rPr>
                <w:rFonts w:eastAsia="Times New Roman" w:cs="Times New Roman"/>
                <w:bCs/>
                <w:sz w:val="20"/>
                <w:szCs w:val="20"/>
              </w:rPr>
            </w:pPr>
          </w:p>
        </w:tc>
        <w:tc>
          <w:tcPr>
            <w:tcW w:w="6030" w:type="dxa"/>
            <w:tcBorders>
              <w:bottom w:val="single" w:sz="12" w:space="0" w:color="4F81BD" w:themeColor="accent1"/>
            </w:tcBorders>
            <w:shd w:val="clear" w:color="auto" w:fill="auto"/>
            <w:noWrap/>
          </w:tcPr>
          <w:p w:rsidR="00E463F3" w:rsidRPr="00D7704E" w:rsidRDefault="00E463F3" w:rsidP="00E463F3">
            <w:pPr>
              <w:spacing w:after="0" w:line="240" w:lineRule="auto"/>
              <w:rPr>
                <w:rFonts w:eastAsia="Times New Roman" w:cs="Times New Roman"/>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Record smoking status for patients</w:t>
            </w:r>
          </w:p>
          <w:p w:rsidR="00E463F3" w:rsidRPr="00D7704E" w:rsidRDefault="00E463F3" w:rsidP="00E463F3">
            <w:pPr>
              <w:spacing w:after="0" w:line="240" w:lineRule="auto"/>
              <w:rPr>
                <w:rFonts w:eastAsia="Times New Roman" w:cs="Times New Roman"/>
                <w:bCs/>
                <w:sz w:val="20"/>
                <w:szCs w:val="20"/>
              </w:rPr>
            </w:pPr>
            <w:r w:rsidRPr="00D7704E">
              <w:rPr>
                <w:rFonts w:eastAsia="Times New Roman" w:cs="Times New Roman"/>
                <w:bCs/>
                <w:sz w:val="20"/>
                <w:szCs w:val="20"/>
              </w:rPr>
              <w:t>13 years old or older</w:t>
            </w:r>
          </w:p>
          <w:p w:rsidR="00C26F4B" w:rsidRPr="00D7704E" w:rsidRDefault="00E463F3" w:rsidP="00E463F3">
            <w:pPr>
              <w:spacing w:after="0" w:line="240" w:lineRule="auto"/>
              <w:rPr>
                <w:rFonts w:eastAsia="Times New Roman" w:cs="Times New Roman"/>
                <w:bCs/>
                <w:sz w:val="20"/>
                <w:szCs w:val="20"/>
              </w:rPr>
            </w:pPr>
            <w:r w:rsidRPr="00D7704E">
              <w:rPr>
                <w:rFonts w:eastAsia="Times New Roman" w:cs="Times New Roman"/>
                <w:b/>
                <w:bCs/>
                <w:sz w:val="20"/>
                <w:szCs w:val="20"/>
              </w:rPr>
              <w:t xml:space="preserve">Measure: </w:t>
            </w:r>
            <w:r w:rsidRPr="00D7704E">
              <w:rPr>
                <w:rFonts w:eastAsia="Times New Roman" w:cs="Times New Roman"/>
                <w:bCs/>
                <w:sz w:val="20"/>
                <w:szCs w:val="20"/>
              </w:rPr>
              <w:t>More than 80% of all unique patients 13 years old or older seen by the EP or admitted to the eligible hospital's or CAH's inpatient or emergency department (POS 21 or 23) have smoking status recorded as structured data</w:t>
            </w:r>
          </w:p>
        </w:tc>
      </w:tr>
      <w:tr w:rsidR="00C26F4B" w:rsidRPr="00D7704E">
        <w:trPr>
          <w:trHeight w:val="375"/>
        </w:trPr>
        <w:tc>
          <w:tcPr>
            <w:tcW w:w="1005" w:type="dxa"/>
            <w:vMerge/>
            <w:vAlign w:val="center"/>
          </w:tcPr>
          <w:p w:rsidR="00C26F4B" w:rsidRPr="00D7704E" w:rsidRDefault="00C26F4B"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C26F4B" w:rsidRPr="00D7704E" w:rsidRDefault="009D0858" w:rsidP="009D0858">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Comments</w:t>
            </w:r>
            <w:r w:rsidR="002965F5">
              <w:rPr>
                <w:rFonts w:eastAsia="Times New Roman" w:cs="Times New Roman"/>
                <w:b/>
                <w:bCs/>
                <w:color w:val="365F91" w:themeColor="accent1" w:themeShade="BF"/>
                <w:sz w:val="20"/>
                <w:szCs w:val="20"/>
              </w:rPr>
              <w:t>:</w:t>
            </w:r>
            <w:r w:rsidR="00F22B7D">
              <w:rPr>
                <w:rFonts w:eastAsia="Times New Roman" w:cs="Times New Roman"/>
                <w:b/>
                <w:bCs/>
                <w:color w:val="365F91" w:themeColor="accent1" w:themeShade="BF"/>
                <w:sz w:val="20"/>
                <w:szCs w:val="20"/>
              </w:rPr>
              <w:t xml:space="preserve"> </w:t>
            </w:r>
            <w:r w:rsidR="00F22B7D" w:rsidRPr="00174FA6">
              <w:rPr>
                <w:rFonts w:eastAsia="Times New Roman" w:cs="Times New Roman"/>
                <w:bCs/>
                <w:sz w:val="20"/>
                <w:szCs w:val="20"/>
              </w:rPr>
              <w:t>Agree.</w:t>
            </w:r>
          </w:p>
        </w:tc>
      </w:tr>
    </w:tbl>
    <w:p w:rsidR="002965F5" w:rsidRDefault="002965F5">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450"/>
        <w:gridCol w:w="1890"/>
        <w:gridCol w:w="1350"/>
        <w:gridCol w:w="3600"/>
        <w:gridCol w:w="6030"/>
      </w:tblGrid>
      <w:tr w:rsidR="00C26F4B" w:rsidRPr="00D7704E" w:rsidTr="00174FA6">
        <w:trPr>
          <w:trHeight w:val="630"/>
        </w:trPr>
        <w:tc>
          <w:tcPr>
            <w:tcW w:w="1455" w:type="dxa"/>
            <w:gridSpan w:val="2"/>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240" w:type="dxa"/>
            <w:gridSpan w:val="2"/>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rsidTr="00174FA6">
        <w:trPr>
          <w:trHeight w:val="773"/>
        </w:trPr>
        <w:tc>
          <w:tcPr>
            <w:tcW w:w="1455" w:type="dxa"/>
            <w:gridSpan w:val="2"/>
            <w:vMerge w:val="restart"/>
            <w:shd w:val="clear" w:color="auto" w:fill="auto"/>
          </w:tcPr>
          <w:p w:rsidR="00C26F4B" w:rsidRPr="00D7704E" w:rsidRDefault="00C26F4B"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240" w:type="dxa"/>
            <w:gridSpan w:val="2"/>
            <w:tcBorders>
              <w:bottom w:val="single" w:sz="12" w:space="0" w:color="4F81BD" w:themeColor="accent1"/>
            </w:tcBorders>
            <w:shd w:val="clear" w:color="auto" w:fill="auto"/>
            <w:noWrap/>
          </w:tcPr>
          <w:p w:rsidR="00C26F4B" w:rsidRPr="00D7704E" w:rsidRDefault="00805FEB" w:rsidP="00C26F4B">
            <w:pPr>
              <w:rPr>
                <w:rFonts w:eastAsia="Times New Roman" w:cs="Times New Roman"/>
                <w:b/>
                <w:bCs/>
                <w:sz w:val="20"/>
                <w:szCs w:val="20"/>
              </w:rPr>
            </w:pPr>
            <w:r w:rsidRPr="00D7704E">
              <w:rPr>
                <w:rFonts w:eastAsia="Times New Roman"/>
                <w:b/>
                <w:bCs/>
                <w:sz w:val="20"/>
                <w:szCs w:val="20"/>
              </w:rPr>
              <w:t xml:space="preserve">MENU: </w:t>
            </w:r>
            <w:r w:rsidRPr="00D7704E">
              <w:rPr>
                <w:rFonts w:eastAsia="Times New Roman"/>
                <w:bCs/>
                <w:sz w:val="20"/>
                <w:szCs w:val="20"/>
              </w:rPr>
              <w:t>Implement drug-formulary checks with access to at least one drug formulary</w:t>
            </w:r>
          </w:p>
        </w:tc>
        <w:tc>
          <w:tcPr>
            <w:tcW w:w="3600" w:type="dxa"/>
            <w:tcBorders>
              <w:bottom w:val="single" w:sz="12" w:space="0" w:color="4F81BD" w:themeColor="accent1"/>
            </w:tcBorders>
            <w:shd w:val="clear" w:color="auto" w:fill="auto"/>
            <w:noWrap/>
          </w:tcPr>
          <w:p w:rsidR="00C26F4B" w:rsidRPr="00D7704E" w:rsidRDefault="00805FEB" w:rsidP="00C26F4B">
            <w:pPr>
              <w:rPr>
                <w:rFonts w:eastAsia="Times New Roman" w:cs="Times New Roman"/>
                <w:bCs/>
                <w:sz w:val="20"/>
                <w:szCs w:val="20"/>
              </w:rPr>
            </w:pPr>
            <w:r w:rsidRPr="00D7704E">
              <w:rPr>
                <w:rFonts w:eastAsia="Times New Roman"/>
                <w:bCs/>
                <w:sz w:val="20"/>
                <w:szCs w:val="20"/>
              </w:rPr>
              <w:t>Implement drug formulary checks according to local needs (e.g., may use internal or external formulary, which may include generic substitution as a “formulary check”)</w:t>
            </w:r>
          </w:p>
        </w:tc>
        <w:tc>
          <w:tcPr>
            <w:tcW w:w="6030" w:type="dxa"/>
            <w:tcBorders>
              <w:bottom w:val="single" w:sz="12" w:space="0" w:color="4F81BD" w:themeColor="accent1"/>
            </w:tcBorders>
            <w:shd w:val="clear" w:color="auto" w:fill="auto"/>
            <w:noWrap/>
          </w:tcPr>
          <w:p w:rsidR="00C26F4B" w:rsidRPr="00D7704E" w:rsidRDefault="00C26F4B" w:rsidP="00C26F4B">
            <w:pPr>
              <w:spacing w:after="0" w:line="240" w:lineRule="auto"/>
              <w:rPr>
                <w:rFonts w:eastAsia="Times New Roman" w:cs="Times New Roman"/>
                <w:b/>
                <w:bCs/>
                <w:sz w:val="20"/>
                <w:szCs w:val="20"/>
              </w:rPr>
            </w:pPr>
            <w:r w:rsidRPr="00D7704E">
              <w:rPr>
                <w:rFonts w:eastAsia="Times New Roman" w:cs="Times New Roman"/>
                <w:b/>
                <w:bCs/>
                <w:sz w:val="20"/>
                <w:szCs w:val="20"/>
              </w:rPr>
              <w:t xml:space="preserve">Consolidated </w:t>
            </w:r>
            <w:r w:rsidRPr="00D7704E">
              <w:rPr>
                <w:rFonts w:eastAsia="Times New Roman" w:cs="Times New Roman"/>
                <w:bCs/>
                <w:sz w:val="20"/>
                <w:szCs w:val="20"/>
              </w:rPr>
              <w:t>- include</w:t>
            </w:r>
            <w:r w:rsidR="00E463F3" w:rsidRPr="00D7704E">
              <w:rPr>
                <w:rFonts w:eastAsia="Times New Roman" w:cs="Times New Roman"/>
                <w:bCs/>
                <w:sz w:val="20"/>
                <w:szCs w:val="20"/>
              </w:rPr>
              <w:t>d</w:t>
            </w:r>
            <w:r w:rsidRPr="00D7704E">
              <w:rPr>
                <w:rFonts w:eastAsia="Times New Roman" w:cs="Times New Roman"/>
                <w:bCs/>
                <w:sz w:val="20"/>
                <w:szCs w:val="20"/>
              </w:rPr>
              <w:t xml:space="preserve"> within </w:t>
            </w:r>
            <w:proofErr w:type="spellStart"/>
            <w:r w:rsidRPr="00D7704E">
              <w:rPr>
                <w:rFonts w:eastAsia="Times New Roman" w:cs="Times New Roman"/>
                <w:bCs/>
                <w:sz w:val="20"/>
                <w:szCs w:val="20"/>
              </w:rPr>
              <w:t>eRX</w:t>
            </w:r>
            <w:proofErr w:type="spellEnd"/>
            <w:r w:rsidRPr="00D7704E">
              <w:rPr>
                <w:rFonts w:eastAsia="Times New Roman" w:cs="Times New Roman"/>
                <w:bCs/>
                <w:sz w:val="20"/>
                <w:szCs w:val="20"/>
              </w:rPr>
              <w:t xml:space="preserve"> core objective </w:t>
            </w:r>
          </w:p>
          <w:p w:rsidR="00C26F4B" w:rsidRPr="00D7704E" w:rsidRDefault="00C26F4B" w:rsidP="00AF0BD8">
            <w:pPr>
              <w:spacing w:after="0" w:line="240" w:lineRule="auto"/>
              <w:rPr>
                <w:rFonts w:eastAsia="Times New Roman" w:cs="Times New Roman"/>
                <w:bCs/>
                <w:sz w:val="20"/>
                <w:szCs w:val="20"/>
              </w:rPr>
            </w:pPr>
          </w:p>
        </w:tc>
      </w:tr>
      <w:tr w:rsidR="00C26F4B" w:rsidRPr="00D7704E" w:rsidTr="00174FA6">
        <w:trPr>
          <w:trHeight w:val="375"/>
        </w:trPr>
        <w:tc>
          <w:tcPr>
            <w:tcW w:w="1455" w:type="dxa"/>
            <w:gridSpan w:val="2"/>
            <w:vMerge/>
            <w:vAlign w:val="center"/>
          </w:tcPr>
          <w:p w:rsidR="00C26F4B" w:rsidRPr="00D7704E" w:rsidRDefault="00C26F4B" w:rsidP="00AF0BD8">
            <w:pPr>
              <w:spacing w:after="0" w:line="240" w:lineRule="auto"/>
              <w:rPr>
                <w:rFonts w:eastAsia="Times New Roman" w:cs="Times New Roman"/>
                <w:b/>
                <w:bCs/>
                <w:sz w:val="20"/>
                <w:szCs w:val="20"/>
              </w:rPr>
            </w:pPr>
          </w:p>
        </w:tc>
        <w:tc>
          <w:tcPr>
            <w:tcW w:w="12870" w:type="dxa"/>
            <w:gridSpan w:val="4"/>
            <w:tcBorders>
              <w:top w:val="single" w:sz="12" w:space="0" w:color="4F81BD" w:themeColor="accent1"/>
            </w:tcBorders>
            <w:shd w:val="clear" w:color="000000" w:fill="FFFFFF"/>
          </w:tcPr>
          <w:p w:rsidR="00057E24" w:rsidRPr="00D7704E" w:rsidRDefault="009D0858" w:rsidP="00D8471A">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Comments</w:t>
            </w:r>
            <w:r w:rsidR="00D8471A">
              <w:rPr>
                <w:rFonts w:eastAsia="Times New Roman" w:cs="Times New Roman"/>
                <w:b/>
                <w:bCs/>
                <w:color w:val="365F91" w:themeColor="accent1" w:themeShade="BF"/>
                <w:sz w:val="20"/>
                <w:szCs w:val="20"/>
              </w:rPr>
              <w:t xml:space="preserve"> </w:t>
            </w:r>
            <w:r w:rsidR="00D8471A">
              <w:rPr>
                <w:rFonts w:cstheme="minorHAnsi"/>
                <w:sz w:val="20"/>
                <w:szCs w:val="20"/>
              </w:rPr>
              <w:t>Agree.</w:t>
            </w:r>
          </w:p>
        </w:tc>
      </w:tr>
      <w:tr w:rsidR="00C26F4B" w:rsidRPr="00D7704E" w:rsidTr="00174FA6">
        <w:trPr>
          <w:trHeight w:val="630"/>
        </w:trPr>
        <w:tc>
          <w:tcPr>
            <w:tcW w:w="1455" w:type="dxa"/>
            <w:gridSpan w:val="2"/>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240" w:type="dxa"/>
            <w:gridSpan w:val="2"/>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rsidTr="00174FA6">
        <w:trPr>
          <w:trHeight w:val="1115"/>
        </w:trPr>
        <w:tc>
          <w:tcPr>
            <w:tcW w:w="1455" w:type="dxa"/>
            <w:gridSpan w:val="2"/>
            <w:vMerge w:val="restart"/>
            <w:shd w:val="clear" w:color="auto" w:fill="auto"/>
          </w:tcPr>
          <w:p w:rsidR="00C26F4B" w:rsidRPr="00D7704E" w:rsidRDefault="00C26F4B"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240" w:type="dxa"/>
            <w:gridSpan w:val="2"/>
            <w:tcBorders>
              <w:bottom w:val="single" w:sz="12" w:space="0" w:color="4F81BD" w:themeColor="accent1"/>
            </w:tcBorders>
            <w:shd w:val="clear" w:color="auto" w:fill="auto"/>
            <w:noWrap/>
          </w:tcPr>
          <w:p w:rsidR="00C26F4B" w:rsidRPr="00D7704E" w:rsidRDefault="00C26F4B" w:rsidP="00C26F4B">
            <w:pPr>
              <w:rPr>
                <w:rFonts w:eastAsia="Times New Roman" w:cs="Times New Roman"/>
                <w:b/>
                <w:bCs/>
                <w:sz w:val="20"/>
                <w:szCs w:val="20"/>
              </w:rPr>
            </w:pPr>
            <w:r w:rsidRPr="00D7704E">
              <w:rPr>
                <w:rFonts w:eastAsia="Times New Roman"/>
                <w:bCs/>
                <w:sz w:val="20"/>
                <w:szCs w:val="20"/>
              </w:rPr>
              <w:t>Report ambulatory and hospital clinical quality measures to CMS or States</w:t>
            </w:r>
          </w:p>
        </w:tc>
        <w:tc>
          <w:tcPr>
            <w:tcW w:w="3600" w:type="dxa"/>
            <w:tcBorders>
              <w:bottom w:val="single" w:sz="12" w:space="0" w:color="4F81BD" w:themeColor="accent1"/>
            </w:tcBorders>
            <w:shd w:val="clear" w:color="auto" w:fill="auto"/>
            <w:noWrap/>
          </w:tcPr>
          <w:p w:rsidR="00C26F4B" w:rsidRPr="00D7704E" w:rsidRDefault="00C26F4B" w:rsidP="00C26F4B">
            <w:pPr>
              <w:rPr>
                <w:rFonts w:eastAsia="Times New Roman" w:cs="Times New Roman"/>
                <w:bCs/>
                <w:sz w:val="20"/>
                <w:szCs w:val="20"/>
              </w:rPr>
            </w:pPr>
            <w:r w:rsidRPr="00D7704E">
              <w:rPr>
                <w:rFonts w:eastAsia="Times New Roman"/>
                <w:bCs/>
                <w:sz w:val="20"/>
                <w:szCs w:val="20"/>
              </w:rPr>
              <w:t>No change</w:t>
            </w:r>
          </w:p>
        </w:tc>
        <w:tc>
          <w:tcPr>
            <w:tcW w:w="6030" w:type="dxa"/>
            <w:tcBorders>
              <w:bottom w:val="single" w:sz="12" w:space="0" w:color="4F81BD" w:themeColor="accent1"/>
            </w:tcBorders>
            <w:shd w:val="clear" w:color="auto" w:fill="auto"/>
            <w:noWrap/>
          </w:tcPr>
          <w:p w:rsidR="00C26F4B" w:rsidRPr="00D7704E" w:rsidRDefault="00E463F3" w:rsidP="00C26F4B">
            <w:pPr>
              <w:spacing w:after="0" w:line="240" w:lineRule="auto"/>
              <w:rPr>
                <w:rFonts w:eastAsia="Times New Roman" w:cs="Times New Roman"/>
                <w:bCs/>
                <w:sz w:val="20"/>
                <w:szCs w:val="20"/>
              </w:rPr>
            </w:pPr>
            <w:r w:rsidRPr="00D7704E">
              <w:rPr>
                <w:rFonts w:eastAsia="Times New Roman" w:cs="Times New Roman"/>
                <w:b/>
                <w:bCs/>
                <w:sz w:val="20"/>
                <w:szCs w:val="20"/>
              </w:rPr>
              <w:t xml:space="preserve">Removed - </w:t>
            </w:r>
            <w:r w:rsidRPr="00D7704E">
              <w:rPr>
                <w:rFonts w:eastAsia="Times New Roman" w:cs="Times New Roman"/>
                <w:bCs/>
                <w:sz w:val="20"/>
                <w:szCs w:val="20"/>
              </w:rPr>
              <w:t>Objective is incorporated directly into the definition of a meaningful EHR user and eliminated as an objective under 42 CFR 495.6</w:t>
            </w:r>
          </w:p>
        </w:tc>
      </w:tr>
      <w:tr w:rsidR="00C26F4B" w:rsidRPr="00D7704E" w:rsidTr="00174FA6">
        <w:trPr>
          <w:trHeight w:val="375"/>
        </w:trPr>
        <w:tc>
          <w:tcPr>
            <w:tcW w:w="1455" w:type="dxa"/>
            <w:gridSpan w:val="2"/>
            <w:vMerge/>
            <w:vAlign w:val="center"/>
          </w:tcPr>
          <w:p w:rsidR="00C26F4B" w:rsidRPr="00D7704E" w:rsidRDefault="00C26F4B" w:rsidP="00AF0BD8">
            <w:pPr>
              <w:spacing w:after="0" w:line="240" w:lineRule="auto"/>
              <w:rPr>
                <w:rFonts w:eastAsia="Times New Roman" w:cs="Times New Roman"/>
                <w:b/>
                <w:bCs/>
                <w:sz w:val="20"/>
                <w:szCs w:val="20"/>
              </w:rPr>
            </w:pPr>
          </w:p>
        </w:tc>
        <w:tc>
          <w:tcPr>
            <w:tcW w:w="12870" w:type="dxa"/>
            <w:gridSpan w:val="4"/>
            <w:tcBorders>
              <w:top w:val="single" w:sz="12" w:space="0" w:color="4F81BD" w:themeColor="accent1"/>
            </w:tcBorders>
            <w:shd w:val="clear" w:color="000000" w:fill="FFFFFF"/>
          </w:tcPr>
          <w:p w:rsidR="00C26F4B" w:rsidRPr="00D7704E" w:rsidRDefault="007F2572" w:rsidP="009D0858">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Comments</w:t>
            </w:r>
            <w:r w:rsidR="002965F5">
              <w:rPr>
                <w:rFonts w:eastAsia="Times New Roman" w:cs="Times New Roman"/>
                <w:b/>
                <w:bCs/>
                <w:color w:val="365F91" w:themeColor="accent1" w:themeShade="BF"/>
                <w:sz w:val="20"/>
                <w:szCs w:val="20"/>
              </w:rPr>
              <w:t>:</w:t>
            </w:r>
            <w:r w:rsidR="00D25E4B">
              <w:rPr>
                <w:rFonts w:eastAsia="Times New Roman" w:cs="Times New Roman"/>
                <w:b/>
                <w:bCs/>
                <w:color w:val="365F91" w:themeColor="accent1" w:themeShade="BF"/>
                <w:sz w:val="20"/>
                <w:szCs w:val="20"/>
              </w:rPr>
              <w:t xml:space="preserve"> </w:t>
            </w:r>
            <w:r w:rsidR="00D25E4B" w:rsidRPr="002965F5">
              <w:rPr>
                <w:rFonts w:eastAsia="Times New Roman" w:cs="Times New Roman"/>
                <w:b/>
                <w:bCs/>
                <w:sz w:val="20"/>
                <w:szCs w:val="20"/>
              </w:rPr>
              <w:t>Agree.</w:t>
            </w:r>
          </w:p>
        </w:tc>
      </w:tr>
      <w:tr w:rsidR="00C26F4B" w:rsidRPr="00D7704E">
        <w:trPr>
          <w:trHeight w:val="630"/>
        </w:trPr>
        <w:tc>
          <w:tcPr>
            <w:tcW w:w="1005"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2340" w:type="dxa"/>
            <w:gridSpan w:val="2"/>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4950" w:type="dxa"/>
            <w:gridSpan w:val="2"/>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trPr>
          <w:trHeight w:val="2807"/>
        </w:trPr>
        <w:tc>
          <w:tcPr>
            <w:tcW w:w="1005" w:type="dxa"/>
            <w:vMerge w:val="restart"/>
            <w:shd w:val="clear" w:color="auto" w:fill="auto"/>
          </w:tcPr>
          <w:p w:rsidR="00A7667B" w:rsidRPr="00D7704E" w:rsidRDefault="00C26F4B" w:rsidP="00E26E7E">
            <w:pPr>
              <w:spacing w:after="0" w:line="240" w:lineRule="auto"/>
              <w:jc w:val="center"/>
              <w:rPr>
                <w:rFonts w:eastAsia="Times New Roman" w:cs="Times New Roman"/>
                <w:sz w:val="20"/>
                <w:szCs w:val="20"/>
              </w:rPr>
            </w:pPr>
            <w:r w:rsidRPr="00D7704E">
              <w:rPr>
                <w:rFonts w:eastAsia="Times New Roman" w:cs="Times New Roman"/>
                <w:b/>
                <w:bCs/>
                <w:sz w:val="20"/>
                <w:szCs w:val="20"/>
              </w:rPr>
              <w:t>Improve quality safety, efficiency and reducing health disparities</w:t>
            </w:r>
          </w:p>
          <w:p w:rsidR="00A7667B" w:rsidRPr="00D7704E" w:rsidRDefault="00A7667B" w:rsidP="00A7667B">
            <w:pPr>
              <w:rPr>
                <w:rFonts w:eastAsia="Times New Roman" w:cs="Times New Roman"/>
                <w:sz w:val="20"/>
                <w:szCs w:val="20"/>
              </w:rPr>
            </w:pPr>
          </w:p>
          <w:p w:rsidR="00A7667B" w:rsidRPr="00D7704E" w:rsidRDefault="00A7667B" w:rsidP="00A7667B">
            <w:pPr>
              <w:rPr>
                <w:rFonts w:eastAsia="Times New Roman" w:cs="Times New Roman"/>
                <w:sz w:val="20"/>
                <w:szCs w:val="20"/>
              </w:rPr>
            </w:pPr>
          </w:p>
          <w:p w:rsidR="00A7667B" w:rsidRPr="00D7704E" w:rsidRDefault="00A7667B" w:rsidP="00A7667B">
            <w:pPr>
              <w:rPr>
                <w:rFonts w:eastAsia="Times New Roman" w:cs="Times New Roman"/>
                <w:sz w:val="20"/>
                <w:szCs w:val="20"/>
              </w:rPr>
            </w:pPr>
          </w:p>
          <w:p w:rsidR="00C26F4B" w:rsidRPr="00D7704E" w:rsidRDefault="00C26F4B" w:rsidP="00A7667B">
            <w:pPr>
              <w:rPr>
                <w:rFonts w:eastAsia="Times New Roman" w:cs="Times New Roman"/>
                <w:sz w:val="20"/>
                <w:szCs w:val="20"/>
              </w:rPr>
            </w:pPr>
          </w:p>
        </w:tc>
        <w:tc>
          <w:tcPr>
            <w:tcW w:w="2340" w:type="dxa"/>
            <w:gridSpan w:val="2"/>
            <w:tcBorders>
              <w:bottom w:val="single" w:sz="12" w:space="0" w:color="4F81BD" w:themeColor="accent1"/>
            </w:tcBorders>
            <w:shd w:val="clear" w:color="auto" w:fill="auto"/>
            <w:noWrap/>
          </w:tcPr>
          <w:p w:rsidR="00C26F4B" w:rsidRPr="00D7704E" w:rsidRDefault="00C26F4B" w:rsidP="00805FEB">
            <w:pPr>
              <w:rPr>
                <w:rFonts w:eastAsia="Times New Roman" w:cs="Times New Roman"/>
                <w:b/>
                <w:bCs/>
                <w:sz w:val="20"/>
                <w:szCs w:val="20"/>
              </w:rPr>
            </w:pPr>
            <w:r w:rsidRPr="00D7704E">
              <w:rPr>
                <w:rFonts w:eastAsia="Times New Roman"/>
                <w:b/>
                <w:bCs/>
                <w:sz w:val="20"/>
                <w:szCs w:val="20"/>
              </w:rPr>
              <w:t>EH MENU:</w:t>
            </w:r>
            <w:r w:rsidRPr="00D7704E">
              <w:rPr>
                <w:rFonts w:eastAsia="Times New Roman"/>
                <w:bCs/>
                <w:sz w:val="20"/>
                <w:szCs w:val="20"/>
              </w:rPr>
              <w:t xml:space="preserve"> </w:t>
            </w:r>
            <w:r w:rsidR="00805FEB" w:rsidRPr="00D7704E">
              <w:rPr>
                <w:rFonts w:eastAsia="Times New Roman"/>
                <w:bCs/>
                <w:sz w:val="20"/>
                <w:szCs w:val="20"/>
              </w:rPr>
              <w:t>Record advanced directives for  more than 50% patients 65 years old or older</w:t>
            </w:r>
          </w:p>
        </w:tc>
        <w:tc>
          <w:tcPr>
            <w:tcW w:w="4950" w:type="dxa"/>
            <w:gridSpan w:val="2"/>
            <w:tcBorders>
              <w:bottom w:val="single" w:sz="12" w:space="0" w:color="4F81BD" w:themeColor="accent1"/>
            </w:tcBorders>
            <w:shd w:val="clear" w:color="auto" w:fill="auto"/>
            <w:noWrap/>
          </w:tcPr>
          <w:p w:rsidR="00C26F4B" w:rsidRPr="00D7704E" w:rsidRDefault="00C26F4B" w:rsidP="00C26F4B">
            <w:pPr>
              <w:rPr>
                <w:rFonts w:eastAsia="Times New Roman" w:cs="Times New Roman"/>
                <w:bCs/>
                <w:sz w:val="20"/>
                <w:szCs w:val="20"/>
              </w:rPr>
            </w:pPr>
            <w:r w:rsidRPr="00D7704E">
              <w:rPr>
                <w:rFonts w:eastAsia="Times New Roman"/>
                <w:bCs/>
                <w:sz w:val="20"/>
                <w:szCs w:val="20"/>
              </w:rPr>
              <w:t xml:space="preserve">Record an advance directive exists for </w:t>
            </w:r>
            <w:r w:rsidRPr="00D7704E">
              <w:rPr>
                <w:rFonts w:eastAsia="Times New Roman"/>
                <w:bCs/>
                <w:sz w:val="20"/>
                <w:szCs w:val="20"/>
              </w:rPr>
              <w:br/>
            </w:r>
            <w:r w:rsidRPr="00D7704E">
              <w:rPr>
                <w:rFonts w:eastAsia="Times New Roman"/>
                <w:b/>
                <w:bCs/>
                <w:sz w:val="20"/>
                <w:szCs w:val="20"/>
              </w:rPr>
              <w:t xml:space="preserve">EP: </w:t>
            </w:r>
            <w:r w:rsidR="00805FEB" w:rsidRPr="00D7704E">
              <w:rPr>
                <w:rFonts w:eastAsia="Times New Roman"/>
                <w:bCs/>
                <w:sz w:val="20"/>
                <w:szCs w:val="20"/>
              </w:rPr>
              <w:t>Record whether an advance directive exists (with date and timestamp of recording) for at least 25 unique patients seen during the reporting period have recorded and provide access to a copy of the directive itself if it exists</w:t>
            </w:r>
            <w:r w:rsidRPr="00D7704E">
              <w:rPr>
                <w:rFonts w:eastAsia="Times New Roman"/>
                <w:bCs/>
                <w:sz w:val="20"/>
                <w:szCs w:val="20"/>
              </w:rPr>
              <w:br/>
            </w:r>
            <w:r w:rsidRPr="00D7704E">
              <w:rPr>
                <w:rFonts w:eastAsia="Times New Roman"/>
                <w:b/>
                <w:bCs/>
                <w:sz w:val="20"/>
                <w:szCs w:val="20"/>
              </w:rPr>
              <w:t xml:space="preserve">EH: </w:t>
            </w:r>
            <w:r w:rsidR="00805FEB" w:rsidRPr="00D7704E">
              <w:rPr>
                <w:rFonts w:eastAsia="Times New Roman"/>
                <w:bCs/>
                <w:sz w:val="20"/>
                <w:szCs w:val="20"/>
              </w:rPr>
              <w:t>Record whether an advance directive exists (with date and timestamp of recording) for more than 50% of patients 65 years and older and provide access to a copy of the directive itself if it exists</w:t>
            </w:r>
          </w:p>
        </w:tc>
        <w:tc>
          <w:tcPr>
            <w:tcW w:w="6030" w:type="dxa"/>
            <w:tcBorders>
              <w:bottom w:val="single" w:sz="12" w:space="0" w:color="4F81BD" w:themeColor="accent1"/>
            </w:tcBorders>
            <w:shd w:val="clear" w:color="auto" w:fill="auto"/>
            <w:noWrap/>
          </w:tcPr>
          <w:p w:rsidR="00E463F3" w:rsidRPr="00D7704E" w:rsidRDefault="00E463F3" w:rsidP="00E463F3">
            <w:pPr>
              <w:spacing w:after="0" w:line="240" w:lineRule="auto"/>
              <w:rPr>
                <w:rFonts w:eastAsia="Times New Roman" w:cs="Times New Roman"/>
                <w:b/>
                <w:bCs/>
                <w:sz w:val="20"/>
                <w:szCs w:val="20"/>
              </w:rPr>
            </w:pPr>
            <w:r w:rsidRPr="00D7704E">
              <w:rPr>
                <w:rFonts w:eastAsia="Times New Roman" w:cs="Times New Roman"/>
                <w:b/>
                <w:bCs/>
                <w:sz w:val="20"/>
                <w:szCs w:val="20"/>
              </w:rPr>
              <w:t>EP: N/A</w:t>
            </w:r>
          </w:p>
          <w:p w:rsidR="00E463F3" w:rsidRPr="00D7704E" w:rsidRDefault="00E463F3" w:rsidP="00E463F3">
            <w:pPr>
              <w:spacing w:after="0" w:line="240" w:lineRule="auto"/>
              <w:rPr>
                <w:rFonts w:eastAsia="Times New Roman" w:cs="Times New Roman"/>
                <w:b/>
                <w:bCs/>
                <w:sz w:val="20"/>
                <w:szCs w:val="20"/>
              </w:rPr>
            </w:pPr>
          </w:p>
          <w:p w:rsidR="00E463F3" w:rsidRPr="00D7704E" w:rsidRDefault="00C26F4B" w:rsidP="00E463F3">
            <w:pPr>
              <w:spacing w:after="0" w:line="240" w:lineRule="auto"/>
              <w:rPr>
                <w:rFonts w:eastAsia="Times New Roman" w:cs="Times New Roman"/>
                <w:bCs/>
                <w:sz w:val="20"/>
                <w:szCs w:val="20"/>
              </w:rPr>
            </w:pPr>
            <w:r w:rsidRPr="00D7704E">
              <w:rPr>
                <w:rFonts w:eastAsia="Times New Roman" w:cs="Times New Roman"/>
                <w:b/>
                <w:bCs/>
                <w:sz w:val="20"/>
                <w:szCs w:val="20"/>
              </w:rPr>
              <w:t xml:space="preserve">EH </w:t>
            </w:r>
            <w:r w:rsidR="00E463F3" w:rsidRPr="00D7704E">
              <w:rPr>
                <w:rFonts w:eastAsia="Times New Roman" w:cs="Times New Roman"/>
                <w:b/>
                <w:bCs/>
                <w:sz w:val="20"/>
                <w:szCs w:val="20"/>
              </w:rPr>
              <w:t>Objective</w:t>
            </w:r>
            <w:r w:rsidR="00E463F3" w:rsidRPr="00D7704E">
              <w:rPr>
                <w:rFonts w:eastAsia="Times New Roman" w:cs="Times New Roman"/>
                <w:bCs/>
                <w:sz w:val="20"/>
                <w:szCs w:val="20"/>
              </w:rPr>
              <w:t>: Record whether a patient 65 years old or older has an advance directive</w:t>
            </w:r>
          </w:p>
          <w:p w:rsidR="00C26F4B" w:rsidRPr="00D7704E" w:rsidRDefault="00E463F3" w:rsidP="00E463F3">
            <w:pPr>
              <w:spacing w:after="0" w:line="240" w:lineRule="auto"/>
              <w:rPr>
                <w:rFonts w:eastAsia="Times New Roman" w:cs="Times New Roman"/>
                <w:bCs/>
                <w:sz w:val="20"/>
                <w:szCs w:val="20"/>
              </w:rPr>
            </w:pPr>
            <w:r w:rsidRPr="00D7704E">
              <w:rPr>
                <w:rFonts w:eastAsia="Times New Roman" w:cs="Times New Roman"/>
                <w:b/>
                <w:bCs/>
                <w:sz w:val="20"/>
                <w:szCs w:val="20"/>
              </w:rPr>
              <w:t>EH Menu Measure:</w:t>
            </w:r>
            <w:r w:rsidRPr="00D7704E">
              <w:rPr>
                <w:rFonts w:eastAsia="Times New Roman" w:cs="Times New Roman"/>
                <w:bCs/>
                <w:sz w:val="20"/>
                <w:szCs w:val="20"/>
              </w:rPr>
              <w:t xml:space="preserve"> More than 50% of all unique patients 65 years old or older admitted to the eligible hospital's or CAH's inpatient department (POS 21) during the EHR reporting period have an indication of an advance directive status recorded as structured data.  </w:t>
            </w:r>
          </w:p>
        </w:tc>
      </w:tr>
      <w:tr w:rsidR="00C26F4B" w:rsidRPr="00D7704E">
        <w:trPr>
          <w:trHeight w:val="375"/>
        </w:trPr>
        <w:tc>
          <w:tcPr>
            <w:tcW w:w="1005" w:type="dxa"/>
            <w:vMerge/>
            <w:vAlign w:val="center"/>
          </w:tcPr>
          <w:p w:rsidR="00C26F4B" w:rsidRPr="00D7704E" w:rsidRDefault="00C26F4B" w:rsidP="00AF0BD8">
            <w:pPr>
              <w:spacing w:after="0" w:line="240" w:lineRule="auto"/>
              <w:rPr>
                <w:rFonts w:eastAsia="Times New Roman" w:cs="Times New Roman"/>
                <w:b/>
                <w:bCs/>
                <w:sz w:val="20"/>
                <w:szCs w:val="20"/>
              </w:rPr>
            </w:pPr>
          </w:p>
        </w:tc>
        <w:tc>
          <w:tcPr>
            <w:tcW w:w="13320" w:type="dxa"/>
            <w:gridSpan w:val="5"/>
            <w:tcBorders>
              <w:top w:val="single" w:sz="12" w:space="0" w:color="4F81BD" w:themeColor="accent1"/>
            </w:tcBorders>
            <w:shd w:val="clear" w:color="000000" w:fill="FFFFFF"/>
          </w:tcPr>
          <w:p w:rsidR="00C26F4B" w:rsidRDefault="007F2572" w:rsidP="009D0858">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p>
          <w:p w:rsidR="002A0AB3" w:rsidRDefault="0073390F" w:rsidP="002A0AB3">
            <w:pPr>
              <w:spacing w:after="0" w:line="240" w:lineRule="auto"/>
              <w:rPr>
                <w:rFonts w:eastAsia="Times New Roman"/>
                <w:bCs/>
                <w:sz w:val="20"/>
                <w:szCs w:val="20"/>
              </w:rPr>
            </w:pPr>
            <w:r w:rsidRPr="00D7704E">
              <w:rPr>
                <w:rFonts w:eastAsia="Times New Roman"/>
                <w:b/>
                <w:bCs/>
                <w:sz w:val="20"/>
                <w:szCs w:val="20"/>
              </w:rPr>
              <w:t xml:space="preserve">EP: </w:t>
            </w:r>
            <w:r w:rsidRPr="00D7704E">
              <w:rPr>
                <w:rFonts w:eastAsia="Times New Roman"/>
                <w:bCs/>
                <w:sz w:val="20"/>
                <w:szCs w:val="20"/>
              </w:rPr>
              <w:t>We recommend adding a Menu requirement - More than 10% of patients who are 65 or older</w:t>
            </w:r>
            <w:r w:rsidR="002A0AB3">
              <w:rPr>
                <w:rFonts w:eastAsia="Times New Roman"/>
                <w:bCs/>
                <w:sz w:val="20"/>
                <w:szCs w:val="20"/>
              </w:rPr>
              <w:t xml:space="preserve"> seen during the reporting period have an indication of an advance directive status recorded as structured data.  We s</w:t>
            </w:r>
            <w:r w:rsidRPr="00D7704E">
              <w:rPr>
                <w:rFonts w:eastAsia="Times New Roman"/>
                <w:bCs/>
                <w:sz w:val="20"/>
                <w:szCs w:val="20"/>
              </w:rPr>
              <w:t xml:space="preserve">trongly recommend moving </w:t>
            </w:r>
            <w:r w:rsidR="002A0AB3">
              <w:rPr>
                <w:rFonts w:eastAsia="Times New Roman"/>
                <w:bCs/>
                <w:sz w:val="20"/>
                <w:szCs w:val="20"/>
              </w:rPr>
              <w:t xml:space="preserve">this proposed menu requirement </w:t>
            </w:r>
            <w:r w:rsidRPr="00D7704E">
              <w:rPr>
                <w:rFonts w:eastAsia="Times New Roman"/>
                <w:bCs/>
                <w:sz w:val="20"/>
                <w:szCs w:val="20"/>
              </w:rPr>
              <w:t xml:space="preserve">to core for Stage 3. </w:t>
            </w:r>
          </w:p>
          <w:p w:rsidR="002A0AB3" w:rsidRDefault="002A0AB3" w:rsidP="002A0AB3">
            <w:pPr>
              <w:spacing w:after="0" w:line="240" w:lineRule="auto"/>
              <w:rPr>
                <w:rFonts w:eastAsia="Times New Roman"/>
                <w:bCs/>
                <w:sz w:val="20"/>
                <w:szCs w:val="20"/>
              </w:rPr>
            </w:pPr>
          </w:p>
          <w:p w:rsidR="00057E24" w:rsidRPr="002A0AB3" w:rsidRDefault="0073390F" w:rsidP="002A0AB3">
            <w:pPr>
              <w:spacing w:after="0" w:line="240" w:lineRule="auto"/>
              <w:rPr>
                <w:rFonts w:eastAsia="Times New Roman"/>
                <w:bCs/>
                <w:sz w:val="20"/>
                <w:szCs w:val="20"/>
              </w:rPr>
            </w:pPr>
            <w:r w:rsidRPr="00D7704E">
              <w:rPr>
                <w:rFonts w:eastAsia="Times New Roman"/>
                <w:b/>
                <w:bCs/>
                <w:sz w:val="20"/>
                <w:szCs w:val="20"/>
              </w:rPr>
              <w:t xml:space="preserve">EH: </w:t>
            </w:r>
            <w:r w:rsidRPr="00D7704E">
              <w:rPr>
                <w:rFonts w:eastAsia="Times New Roman"/>
                <w:bCs/>
                <w:sz w:val="20"/>
                <w:szCs w:val="20"/>
              </w:rPr>
              <w:t>This is an important objective and we recommend the original stage 1 objective should be moved to core for hospitals</w:t>
            </w:r>
            <w:r w:rsidR="002A0AB3">
              <w:rPr>
                <w:rFonts w:eastAsia="Times New Roman"/>
                <w:bCs/>
                <w:sz w:val="20"/>
                <w:szCs w:val="20"/>
              </w:rPr>
              <w:t xml:space="preserve"> in stage 2.</w:t>
            </w:r>
          </w:p>
        </w:tc>
      </w:tr>
    </w:tbl>
    <w:p w:rsidR="002965F5" w:rsidRDefault="002965F5"/>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6030"/>
      </w:tblGrid>
      <w:tr w:rsidR="00A7667B" w:rsidRPr="00D7704E">
        <w:trPr>
          <w:trHeight w:val="630"/>
        </w:trPr>
        <w:tc>
          <w:tcPr>
            <w:tcW w:w="1005" w:type="dxa"/>
            <w:shd w:val="clear" w:color="auto" w:fill="286AA0"/>
          </w:tcPr>
          <w:p w:rsidR="00A7667B" w:rsidRPr="00D7704E" w:rsidRDefault="00FA0235" w:rsidP="00D7704E">
            <w:pPr>
              <w:spacing w:after="0" w:line="240" w:lineRule="auto"/>
              <w:jc w:val="center"/>
              <w:rPr>
                <w:rFonts w:ascii="Garamond" w:eastAsia="Times New Roman" w:hAnsi="Garamond" w:cs="Times New Roman"/>
                <w:b/>
                <w:bCs/>
                <w:color w:val="FFFFFF"/>
                <w:sz w:val="20"/>
                <w:szCs w:val="20"/>
              </w:rPr>
            </w:pPr>
            <w:r>
              <w:br w:type="page"/>
            </w:r>
            <w:r w:rsidR="00893F9A">
              <w:br w:type="page"/>
            </w:r>
            <w:r w:rsidR="00A7667B" w:rsidRPr="00D7704E">
              <w:rPr>
                <w:rFonts w:ascii="Garamond" w:eastAsia="Times New Roman" w:hAnsi="Garamond" w:cs="Times New Roman"/>
                <w:b/>
                <w:bCs/>
                <w:color w:val="FFFFFF"/>
                <w:sz w:val="20"/>
                <w:szCs w:val="20"/>
              </w:rPr>
              <w:t>Policy Priority</w:t>
            </w:r>
          </w:p>
        </w:tc>
        <w:tc>
          <w:tcPr>
            <w:tcW w:w="3690" w:type="dxa"/>
            <w:shd w:val="clear" w:color="auto" w:fill="286AA0"/>
          </w:tcPr>
          <w:p w:rsidR="00A7667B" w:rsidRPr="00D7704E" w:rsidRDefault="00A7667B" w:rsidP="00D7704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A7667B" w:rsidRPr="00D7704E" w:rsidRDefault="00A7667B" w:rsidP="00D7704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A7667B" w:rsidRPr="00D7704E" w:rsidRDefault="00A7667B" w:rsidP="00D7704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7667B" w:rsidRPr="00D7704E">
        <w:trPr>
          <w:trHeight w:val="1043"/>
        </w:trPr>
        <w:tc>
          <w:tcPr>
            <w:tcW w:w="1005" w:type="dxa"/>
            <w:vMerge w:val="restart"/>
            <w:shd w:val="clear" w:color="auto" w:fill="auto"/>
          </w:tcPr>
          <w:p w:rsidR="00A7667B" w:rsidRPr="00D7704E" w:rsidRDefault="00A7667B" w:rsidP="00D7704E">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A7667B" w:rsidRPr="00D7704E" w:rsidRDefault="00A7667B" w:rsidP="00D7704E">
            <w:pPr>
              <w:rPr>
                <w:rFonts w:eastAsia="Times New Roman"/>
                <w:bCs/>
                <w:sz w:val="20"/>
                <w:szCs w:val="20"/>
              </w:rPr>
            </w:pPr>
            <w:r w:rsidRPr="00D7704E">
              <w:rPr>
                <w:rFonts w:eastAsia="Times New Roman"/>
                <w:b/>
                <w:bCs/>
                <w:sz w:val="20"/>
                <w:szCs w:val="20"/>
              </w:rPr>
              <w:t>EP:</w:t>
            </w:r>
            <w:r w:rsidRPr="00D7704E">
              <w:rPr>
                <w:rFonts w:eastAsia="Times New Roman"/>
                <w:bCs/>
                <w:sz w:val="20"/>
                <w:szCs w:val="20"/>
              </w:rPr>
              <w:t xml:space="preserve"> Implement one clinical decision support rule relevant to specialty or high clinical priority along with ability to track compliance with that rule</w:t>
            </w:r>
          </w:p>
          <w:p w:rsidR="00A7667B" w:rsidRPr="00D7704E" w:rsidRDefault="00A7667B" w:rsidP="00D7704E">
            <w:pPr>
              <w:rPr>
                <w:rFonts w:eastAsia="Times New Roman"/>
                <w:bCs/>
                <w:sz w:val="20"/>
                <w:szCs w:val="20"/>
              </w:rPr>
            </w:pPr>
            <w:r w:rsidRPr="00D7704E">
              <w:rPr>
                <w:rFonts w:eastAsia="Times New Roman"/>
                <w:b/>
                <w:bCs/>
                <w:sz w:val="20"/>
                <w:szCs w:val="20"/>
              </w:rPr>
              <w:t>EH:</w:t>
            </w:r>
            <w:r w:rsidRPr="00D7704E">
              <w:rPr>
                <w:rFonts w:eastAsia="Times New Roman"/>
                <w:bCs/>
                <w:sz w:val="20"/>
                <w:szCs w:val="20"/>
              </w:rPr>
              <w:t xml:space="preserve"> Implement one clinical decision support rule related to a high priority hospital condition along with the ability to track compliance with that rule</w:t>
            </w:r>
          </w:p>
          <w:p w:rsidR="00A7667B" w:rsidRPr="00D7704E" w:rsidRDefault="00A7667B" w:rsidP="00D7704E">
            <w:pPr>
              <w:spacing w:after="0" w:line="240" w:lineRule="auto"/>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A7667B" w:rsidRPr="00D7704E" w:rsidRDefault="00A7667B" w:rsidP="00D7704E">
            <w:pPr>
              <w:spacing w:after="0" w:line="240" w:lineRule="auto"/>
              <w:rPr>
                <w:rFonts w:eastAsia="Calibri"/>
                <w:sz w:val="20"/>
                <w:szCs w:val="20"/>
              </w:rPr>
            </w:pPr>
            <w:r w:rsidRPr="00D7704E">
              <w:rPr>
                <w:rFonts w:ascii="Calibri" w:eastAsia="Calibri" w:hAnsi="Calibri" w:cs="Times New Roman"/>
                <w:sz w:val="20"/>
                <w:szCs w:val="20"/>
              </w:rPr>
              <w:t>Use CDS to improve performance on high-priority health conditions.</w:t>
            </w:r>
          </w:p>
          <w:p w:rsidR="00A7667B" w:rsidRPr="00D7704E" w:rsidRDefault="00A7667B" w:rsidP="00D7704E">
            <w:pPr>
              <w:spacing w:after="0" w:line="240" w:lineRule="auto"/>
              <w:rPr>
                <w:sz w:val="20"/>
                <w:szCs w:val="20"/>
              </w:rPr>
            </w:pPr>
            <w:r w:rsidRPr="00D7704E">
              <w:rPr>
                <w:sz w:val="20"/>
                <w:szCs w:val="20"/>
              </w:rPr>
              <w:t xml:space="preserve">Establish CDS attributes for purposes of certification: </w:t>
            </w:r>
          </w:p>
          <w:p w:rsidR="00A7667B" w:rsidRPr="00D7704E" w:rsidRDefault="00A7667B" w:rsidP="00D7704E">
            <w:pPr>
              <w:pStyle w:val="ListParagraph"/>
              <w:numPr>
                <w:ilvl w:val="0"/>
                <w:numId w:val="1"/>
              </w:numPr>
              <w:spacing w:after="0" w:line="240" w:lineRule="auto"/>
              <w:rPr>
                <w:rFonts w:eastAsia="Times New Roman" w:cs="Times New Roman"/>
                <w:b/>
                <w:bCs/>
                <w:sz w:val="20"/>
                <w:szCs w:val="20"/>
              </w:rPr>
            </w:pPr>
            <w:r w:rsidRPr="00D7704E">
              <w:rPr>
                <w:sz w:val="20"/>
                <w:szCs w:val="20"/>
              </w:rPr>
              <w:t>Display source/citation of CDS</w:t>
            </w:r>
          </w:p>
          <w:p w:rsidR="00A7667B" w:rsidRPr="00D7704E" w:rsidRDefault="00A7667B" w:rsidP="00D7704E">
            <w:pPr>
              <w:pStyle w:val="ListParagraph"/>
              <w:numPr>
                <w:ilvl w:val="0"/>
                <w:numId w:val="1"/>
              </w:numPr>
              <w:spacing w:after="0" w:line="240" w:lineRule="auto"/>
              <w:rPr>
                <w:rFonts w:eastAsia="Times New Roman" w:cs="Times New Roman"/>
                <w:b/>
                <w:bCs/>
                <w:sz w:val="20"/>
                <w:szCs w:val="20"/>
              </w:rPr>
            </w:pPr>
            <w:r w:rsidRPr="00D7704E">
              <w:rPr>
                <w:sz w:val="20"/>
                <w:szCs w:val="20"/>
              </w:rPr>
              <w:t>Configurable based on patient context (e.g., inpatient, outpatient, problems, meds, allergies, lab results)</w:t>
            </w:r>
          </w:p>
          <w:p w:rsidR="00A7667B" w:rsidRPr="00D7704E" w:rsidRDefault="00A7667B" w:rsidP="00D7704E">
            <w:pPr>
              <w:pStyle w:val="ListParagraph"/>
              <w:numPr>
                <w:ilvl w:val="0"/>
                <w:numId w:val="1"/>
              </w:numPr>
              <w:spacing w:after="0" w:line="240" w:lineRule="auto"/>
              <w:rPr>
                <w:rFonts w:eastAsia="Times New Roman" w:cs="Times New Roman"/>
                <w:b/>
                <w:bCs/>
                <w:sz w:val="20"/>
                <w:szCs w:val="20"/>
              </w:rPr>
            </w:pPr>
            <w:r w:rsidRPr="00D7704E">
              <w:rPr>
                <w:sz w:val="20"/>
                <w:szCs w:val="20"/>
              </w:rPr>
              <w:t>Presented at a relevant point in clinical workflow</w:t>
            </w:r>
          </w:p>
          <w:p w:rsidR="00A7667B" w:rsidRPr="00D7704E" w:rsidRDefault="00A7667B" w:rsidP="00D7704E">
            <w:pPr>
              <w:pStyle w:val="ListParagraph"/>
              <w:numPr>
                <w:ilvl w:val="0"/>
                <w:numId w:val="1"/>
              </w:numPr>
              <w:spacing w:after="0" w:line="240" w:lineRule="auto"/>
              <w:rPr>
                <w:rFonts w:eastAsia="Times New Roman" w:cs="Times New Roman"/>
                <w:b/>
                <w:bCs/>
                <w:sz w:val="20"/>
                <w:szCs w:val="20"/>
              </w:rPr>
            </w:pPr>
            <w:r w:rsidRPr="00D7704E">
              <w:rPr>
                <w:sz w:val="20"/>
                <w:szCs w:val="20"/>
              </w:rPr>
              <w:t>Alerts presented to users who can act on alert (e.g., licensed professionals)</w:t>
            </w:r>
          </w:p>
          <w:p w:rsidR="00A7667B" w:rsidRPr="00D7704E" w:rsidRDefault="00A7667B" w:rsidP="00D7704E">
            <w:pPr>
              <w:pStyle w:val="ListParagraph"/>
              <w:numPr>
                <w:ilvl w:val="0"/>
                <w:numId w:val="1"/>
              </w:numPr>
              <w:spacing w:after="0" w:line="240" w:lineRule="auto"/>
              <w:rPr>
                <w:rFonts w:eastAsia="Times New Roman" w:cs="Times New Roman"/>
                <w:b/>
                <w:bCs/>
                <w:sz w:val="20"/>
                <w:szCs w:val="20"/>
              </w:rPr>
            </w:pPr>
            <w:r w:rsidRPr="00D7704E">
              <w:rPr>
                <w:sz w:val="20"/>
                <w:szCs w:val="20"/>
              </w:rPr>
              <w:t>Integrated with EHR (i.e., not standalone)</w:t>
            </w:r>
            <w:r w:rsidRPr="00D7704E">
              <w:rPr>
                <w:sz w:val="20"/>
                <w:szCs w:val="20"/>
              </w:rPr>
              <w:br/>
            </w:r>
            <w:r w:rsidRPr="00D7704E">
              <w:rPr>
                <w:rFonts w:eastAsia="Times New Roman" w:cs="Times New Roman"/>
                <w:b/>
                <w:bCs/>
                <w:sz w:val="20"/>
                <w:szCs w:val="20"/>
              </w:rPr>
              <w:t xml:space="preserve"> </w:t>
            </w:r>
          </w:p>
        </w:tc>
        <w:tc>
          <w:tcPr>
            <w:tcW w:w="6030" w:type="dxa"/>
            <w:tcBorders>
              <w:bottom w:val="single" w:sz="12" w:space="0" w:color="4F81BD" w:themeColor="accent1"/>
            </w:tcBorders>
            <w:shd w:val="clear" w:color="auto" w:fill="auto"/>
            <w:noWrap/>
          </w:tcPr>
          <w:p w:rsidR="00A7667B" w:rsidRPr="00D7704E" w:rsidRDefault="00A7667B" w:rsidP="00D7704E">
            <w:pPr>
              <w:spacing w:after="0" w:line="240" w:lineRule="auto"/>
              <w:rPr>
                <w:rFonts w:eastAsia="Times New Roman" w:cs="Times New Roman"/>
                <w:bCs/>
                <w:sz w:val="20"/>
                <w:szCs w:val="20"/>
              </w:rPr>
            </w:pPr>
            <w:r w:rsidRPr="00D7704E">
              <w:rPr>
                <w:rFonts w:eastAsia="Times New Roman" w:cs="Times New Roman"/>
                <w:b/>
                <w:bCs/>
                <w:sz w:val="20"/>
                <w:szCs w:val="20"/>
              </w:rPr>
              <w:t>Objective:</w:t>
            </w:r>
            <w:r w:rsidRPr="00D7704E">
              <w:rPr>
                <w:rFonts w:eastAsia="Times New Roman" w:cs="Times New Roman"/>
                <w:bCs/>
                <w:sz w:val="20"/>
                <w:szCs w:val="20"/>
              </w:rPr>
              <w:t xml:space="preserve"> Use clinical decision support to</w:t>
            </w:r>
          </w:p>
          <w:p w:rsidR="00A7667B" w:rsidRPr="00D7704E" w:rsidRDefault="00A7667B" w:rsidP="00D7704E">
            <w:pPr>
              <w:spacing w:after="0" w:line="240" w:lineRule="auto"/>
              <w:rPr>
                <w:rFonts w:eastAsia="Times New Roman" w:cs="Times New Roman"/>
                <w:bCs/>
                <w:sz w:val="20"/>
                <w:szCs w:val="20"/>
              </w:rPr>
            </w:pPr>
            <w:r w:rsidRPr="00D7704E">
              <w:rPr>
                <w:rFonts w:eastAsia="Times New Roman" w:cs="Times New Roman"/>
                <w:bCs/>
                <w:sz w:val="20"/>
                <w:szCs w:val="20"/>
              </w:rPr>
              <w:t>improve performance on high priority</w:t>
            </w:r>
          </w:p>
          <w:p w:rsidR="00A7667B" w:rsidRPr="00D7704E" w:rsidRDefault="00A7667B" w:rsidP="00D7704E">
            <w:pPr>
              <w:spacing w:after="0" w:line="240" w:lineRule="auto"/>
              <w:rPr>
                <w:rFonts w:eastAsia="Times New Roman" w:cs="Times New Roman"/>
                <w:bCs/>
                <w:sz w:val="20"/>
                <w:szCs w:val="20"/>
              </w:rPr>
            </w:pPr>
            <w:r w:rsidRPr="00D7704E">
              <w:rPr>
                <w:rFonts w:eastAsia="Times New Roman" w:cs="Times New Roman"/>
                <w:bCs/>
                <w:sz w:val="20"/>
                <w:szCs w:val="20"/>
              </w:rPr>
              <w:t>health conditions</w:t>
            </w:r>
          </w:p>
          <w:p w:rsidR="00A7667B" w:rsidRPr="00D7704E" w:rsidRDefault="00A7667B" w:rsidP="00D7704E">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1. Implement five clinical decision support interventions related to five or more clinical quality measures, if applicable, at a relevant point in patient care for the entire EHR reporting period.</w:t>
            </w:r>
          </w:p>
          <w:p w:rsidR="00A7667B" w:rsidRPr="00D7704E" w:rsidRDefault="00A7667B" w:rsidP="00D7704E">
            <w:pPr>
              <w:spacing w:after="0" w:line="240" w:lineRule="auto"/>
              <w:rPr>
                <w:rFonts w:eastAsia="Times New Roman" w:cs="Times New Roman"/>
                <w:bCs/>
                <w:sz w:val="20"/>
                <w:szCs w:val="20"/>
              </w:rPr>
            </w:pPr>
            <w:r w:rsidRPr="00D7704E">
              <w:rPr>
                <w:rFonts w:eastAsia="Times New Roman" w:cs="Times New Roman"/>
                <w:bCs/>
                <w:sz w:val="20"/>
                <w:szCs w:val="20"/>
              </w:rPr>
              <w:t>2. The EP, eligible hospital, or CAH has enabled the functionality for drug-drug and drug-allergy interaction checks for the entire EHR reporting period.</w:t>
            </w:r>
          </w:p>
        </w:tc>
      </w:tr>
      <w:tr w:rsidR="00A7667B" w:rsidRPr="00D7704E">
        <w:trPr>
          <w:trHeight w:val="690"/>
        </w:trPr>
        <w:tc>
          <w:tcPr>
            <w:tcW w:w="1005" w:type="dxa"/>
            <w:vMerge/>
            <w:vAlign w:val="center"/>
          </w:tcPr>
          <w:p w:rsidR="00A7667B" w:rsidRPr="00D7704E" w:rsidRDefault="00A7667B" w:rsidP="00D7704E">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A7667B" w:rsidRDefault="007F2572" w:rsidP="00D7704E">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p>
          <w:p w:rsidR="004E2EA6" w:rsidRDefault="0073390F" w:rsidP="0073390F">
            <w:pPr>
              <w:pStyle w:val="NoSpacing"/>
              <w:rPr>
                <w:rFonts w:eastAsia="Times New Roman" w:cs="Times New Roman"/>
                <w:bCs/>
                <w:sz w:val="20"/>
                <w:szCs w:val="20"/>
              </w:rPr>
            </w:pPr>
            <w:r w:rsidRPr="00DD6C5E">
              <w:rPr>
                <w:rFonts w:eastAsia="Times New Roman" w:cs="Times New Roman"/>
                <w:bCs/>
                <w:sz w:val="20"/>
                <w:szCs w:val="20"/>
              </w:rPr>
              <w:t>In addition to DDI, require an additional decisi</w:t>
            </w:r>
            <w:r>
              <w:rPr>
                <w:rFonts w:eastAsia="Times New Roman" w:cs="Times New Roman"/>
                <w:bCs/>
                <w:sz w:val="20"/>
                <w:szCs w:val="20"/>
              </w:rPr>
              <w:t xml:space="preserve">on support function addressing </w:t>
            </w:r>
            <w:r w:rsidRPr="00DD6C5E">
              <w:rPr>
                <w:rFonts w:eastAsia="Times New Roman" w:cs="Times New Roman"/>
                <w:bCs/>
                <w:sz w:val="20"/>
                <w:szCs w:val="20"/>
              </w:rPr>
              <w:t>efficiency such as reducing overuse of high-cost imaging or use of generic medications.</w:t>
            </w:r>
          </w:p>
          <w:p w:rsidR="004E2EA6" w:rsidRDefault="004E2EA6" w:rsidP="0073390F">
            <w:pPr>
              <w:pStyle w:val="NoSpacing"/>
              <w:rPr>
                <w:sz w:val="20"/>
                <w:szCs w:val="20"/>
              </w:rPr>
            </w:pPr>
            <w:r>
              <w:rPr>
                <w:sz w:val="20"/>
                <w:szCs w:val="20"/>
              </w:rPr>
              <w:t>We recommend use of the original HITPCs recommendation for five CDS attributes.  We note that these attributes are incorporated into the certification NPRM, with two exceptions:</w:t>
            </w:r>
          </w:p>
          <w:p w:rsidR="0073390F" w:rsidRDefault="0073390F" w:rsidP="0073390F">
            <w:pPr>
              <w:pStyle w:val="NoSpacing"/>
              <w:rPr>
                <w:sz w:val="20"/>
                <w:szCs w:val="20"/>
              </w:rPr>
            </w:pPr>
            <w:r w:rsidRPr="00801163">
              <w:rPr>
                <w:sz w:val="20"/>
                <w:szCs w:val="20"/>
              </w:rPr>
              <w:t>a.</w:t>
            </w:r>
            <w:r w:rsidR="004E2EA6">
              <w:rPr>
                <w:sz w:val="20"/>
                <w:szCs w:val="20"/>
              </w:rPr>
              <w:t xml:space="preserve"> We recommend simplifying the citation of the basis of a CDS intervention to include the reference source and any external funding of the development or implementation of the CDS intervention.</w:t>
            </w:r>
            <w:r w:rsidRPr="00801163">
              <w:rPr>
                <w:sz w:val="20"/>
                <w:szCs w:val="20"/>
              </w:rPr>
              <w:br/>
              <w:t xml:space="preserve">b. </w:t>
            </w:r>
            <w:r w:rsidR="004E2EA6">
              <w:rPr>
                <w:sz w:val="20"/>
                <w:szCs w:val="20"/>
              </w:rPr>
              <w:t>We recommend n</w:t>
            </w:r>
            <w:r w:rsidRPr="00801163">
              <w:rPr>
                <w:sz w:val="20"/>
                <w:szCs w:val="20"/>
              </w:rPr>
              <w:t>ot having a special call-out for "linked references" since it is just one type of CDS intervention and our goal was to be flexible and not prescriptive</w:t>
            </w:r>
          </w:p>
          <w:p w:rsidR="00D25E4B" w:rsidRPr="00D7704E" w:rsidRDefault="00D25E4B" w:rsidP="00D25E4B">
            <w:pPr>
              <w:spacing w:after="0" w:line="240" w:lineRule="auto"/>
              <w:rPr>
                <w:rFonts w:eastAsia="Times New Roman" w:cs="Times New Roman"/>
                <w:b/>
                <w:bCs/>
                <w:sz w:val="20"/>
                <w:szCs w:val="20"/>
              </w:rPr>
            </w:pPr>
          </w:p>
        </w:tc>
      </w:tr>
    </w:tbl>
    <w:p w:rsidR="00A7667B" w:rsidRPr="00D7704E" w:rsidRDefault="00A7667B">
      <w:pPr>
        <w:rPr>
          <w:sz w:val="20"/>
          <w:szCs w:val="20"/>
        </w:rPr>
      </w:pPr>
      <w:r w:rsidRPr="00D7704E">
        <w:rPr>
          <w:sz w:val="20"/>
          <w:szCs w:val="20"/>
        </w:rPr>
        <w:br w:type="page"/>
      </w:r>
    </w:p>
    <w:p w:rsidR="00C26F4B" w:rsidRPr="00D7704E" w:rsidRDefault="00C26F4B">
      <w:pPr>
        <w:rPr>
          <w:sz w:val="20"/>
          <w:szCs w:val="20"/>
        </w:rPr>
      </w:pPr>
    </w:p>
    <w:tbl>
      <w:tblPr>
        <w:tblW w:w="14490" w:type="dxa"/>
        <w:tblInd w:w="-7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170"/>
        <w:gridCol w:w="3690"/>
        <w:gridCol w:w="3600"/>
        <w:gridCol w:w="6030"/>
      </w:tblGrid>
      <w:tr w:rsidR="00C26F4B" w:rsidRPr="00D7704E">
        <w:trPr>
          <w:trHeight w:val="630"/>
        </w:trPr>
        <w:tc>
          <w:tcPr>
            <w:tcW w:w="117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trPr>
          <w:trHeight w:val="1313"/>
        </w:trPr>
        <w:tc>
          <w:tcPr>
            <w:tcW w:w="1170" w:type="dxa"/>
            <w:vMerge w:val="restart"/>
            <w:shd w:val="clear" w:color="auto" w:fill="auto"/>
          </w:tcPr>
          <w:p w:rsidR="00C26F4B" w:rsidRPr="00D7704E" w:rsidRDefault="00C26F4B"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C26F4B" w:rsidRPr="00D7704E" w:rsidRDefault="00C26F4B" w:rsidP="00C26F4B">
            <w:pPr>
              <w:rPr>
                <w:rFonts w:eastAsia="Times New Roman" w:cs="Times New Roman"/>
                <w:b/>
                <w:bCs/>
                <w:sz w:val="20"/>
                <w:szCs w:val="20"/>
              </w:rPr>
            </w:pPr>
            <w:r w:rsidRPr="00D7704E">
              <w:rPr>
                <w:rFonts w:eastAsia="Times New Roman"/>
                <w:b/>
                <w:bCs/>
                <w:sz w:val="20"/>
                <w:szCs w:val="20"/>
              </w:rPr>
              <w:t xml:space="preserve">MENU: </w:t>
            </w:r>
            <w:r w:rsidR="00805FEB" w:rsidRPr="00D7704E">
              <w:rPr>
                <w:rFonts w:eastAsia="Times New Roman"/>
                <w:bCs/>
                <w:sz w:val="20"/>
                <w:szCs w:val="20"/>
              </w:rPr>
              <w:t>Incorporate clinical lab test results into certified EHR technology as structured data for more than 40% of all clinical lab tests results ordered whose results are either in a positive/negative or numerical format</w:t>
            </w:r>
          </w:p>
        </w:tc>
        <w:tc>
          <w:tcPr>
            <w:tcW w:w="3600" w:type="dxa"/>
            <w:tcBorders>
              <w:bottom w:val="single" w:sz="12" w:space="0" w:color="4F81BD" w:themeColor="accent1"/>
            </w:tcBorders>
            <w:shd w:val="clear" w:color="auto" w:fill="auto"/>
            <w:noWrap/>
          </w:tcPr>
          <w:p w:rsidR="00805FEB" w:rsidRPr="00D7704E" w:rsidRDefault="00805FEB" w:rsidP="00805FEB">
            <w:pPr>
              <w:rPr>
                <w:rFonts w:eastAsia="Times New Roman"/>
                <w:bCs/>
                <w:sz w:val="20"/>
                <w:szCs w:val="20"/>
              </w:rPr>
            </w:pPr>
            <w:r w:rsidRPr="00D7704E">
              <w:rPr>
                <w:rFonts w:eastAsia="Times New Roman"/>
                <w:b/>
                <w:bCs/>
                <w:sz w:val="20"/>
                <w:szCs w:val="20"/>
              </w:rPr>
              <w:t>EP</w:t>
            </w:r>
            <w:r w:rsidR="00C679C0">
              <w:rPr>
                <w:rFonts w:eastAsia="Times New Roman"/>
                <w:b/>
                <w:bCs/>
                <w:sz w:val="20"/>
                <w:szCs w:val="20"/>
              </w:rPr>
              <w:t>/EH</w:t>
            </w:r>
            <w:r w:rsidRPr="00D7704E">
              <w:rPr>
                <w:rFonts w:eastAsia="Times New Roman"/>
                <w:b/>
                <w:bCs/>
                <w:sz w:val="20"/>
                <w:szCs w:val="20"/>
              </w:rPr>
              <w:t>:</w:t>
            </w:r>
            <w:r w:rsidRPr="00D7704E">
              <w:rPr>
                <w:rFonts w:eastAsia="Times New Roman"/>
                <w:bCs/>
                <w:sz w:val="20"/>
                <w:szCs w:val="20"/>
              </w:rPr>
              <w:t xml:space="preserve"> Incorporate lab results as structured data for more than 40% of all clinical lab tests ordered through the EHR for a patient during the reporting period</w:t>
            </w:r>
          </w:p>
          <w:p w:rsidR="00C26F4B" w:rsidRPr="00D7704E" w:rsidRDefault="00805FEB" w:rsidP="00805FEB">
            <w:pPr>
              <w:rPr>
                <w:rFonts w:eastAsia="Times New Roman" w:cs="Times New Roman"/>
                <w:bCs/>
                <w:sz w:val="20"/>
                <w:szCs w:val="20"/>
              </w:rPr>
            </w:pPr>
            <w:r w:rsidRPr="00D7704E">
              <w:rPr>
                <w:rFonts w:eastAsia="Times New Roman"/>
                <w:bCs/>
                <w:sz w:val="20"/>
                <w:szCs w:val="20"/>
              </w:rPr>
              <w:t>HITSC: Use LOINC where available</w:t>
            </w:r>
          </w:p>
        </w:tc>
        <w:tc>
          <w:tcPr>
            <w:tcW w:w="6030" w:type="dxa"/>
            <w:tcBorders>
              <w:bottom w:val="single" w:sz="12" w:space="0" w:color="4F81BD" w:themeColor="accent1"/>
            </w:tcBorders>
            <w:shd w:val="clear" w:color="auto" w:fill="auto"/>
            <w:noWrap/>
          </w:tcPr>
          <w:p w:rsidR="00BF51BC" w:rsidRPr="00D7704E" w:rsidRDefault="00BF51BC" w:rsidP="00BF51BC">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Incorporate clinical lab-test results into EHR as structured data</w:t>
            </w:r>
          </w:p>
          <w:p w:rsidR="00C26F4B" w:rsidRPr="00D7704E" w:rsidRDefault="00BF51BC" w:rsidP="00BF51BC">
            <w:pPr>
              <w:spacing w:after="0" w:line="240" w:lineRule="auto"/>
              <w:rPr>
                <w:rFonts w:eastAsia="Times New Roman" w:cs="Times New Roman"/>
                <w:bCs/>
                <w:sz w:val="20"/>
                <w:szCs w:val="20"/>
              </w:rPr>
            </w:pPr>
            <w:r w:rsidRPr="00D7704E">
              <w:rPr>
                <w:rFonts w:eastAsia="Times New Roman" w:cs="Times New Roman"/>
                <w:b/>
                <w:bCs/>
                <w:sz w:val="20"/>
                <w:szCs w:val="20"/>
              </w:rPr>
              <w:t xml:space="preserve">Measure: </w:t>
            </w:r>
            <w:r w:rsidRPr="00D7704E">
              <w:rPr>
                <w:rFonts w:eastAsia="Times New Roman" w:cs="Times New Roman"/>
                <w:bCs/>
                <w:sz w:val="20"/>
                <w:szCs w:val="20"/>
              </w:rPr>
              <w:t>More than 55% of all clinical lab tests results ordered by the EP or by authorized providers of the eligible hospital or CAH for patients admitted to its inpatient or emergency department (POS 21 or 23) during the EHR reporting period whose results are either in a positive/negative or numerical format are incorporated in Certified EHR Technology as structured data</w:t>
            </w:r>
          </w:p>
        </w:tc>
      </w:tr>
      <w:tr w:rsidR="00C26F4B" w:rsidRPr="00D7704E">
        <w:trPr>
          <w:trHeight w:val="375"/>
        </w:trPr>
        <w:tc>
          <w:tcPr>
            <w:tcW w:w="1170" w:type="dxa"/>
            <w:vMerge/>
            <w:vAlign w:val="center"/>
          </w:tcPr>
          <w:p w:rsidR="00C26F4B" w:rsidRPr="00D7704E" w:rsidRDefault="00C26F4B"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C26F4B" w:rsidRDefault="007F2572" w:rsidP="009D0858">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p>
          <w:p w:rsidR="0023271F" w:rsidRPr="00D7704E" w:rsidRDefault="0073390F" w:rsidP="009D0858">
            <w:pPr>
              <w:spacing w:after="0" w:line="240" w:lineRule="auto"/>
              <w:rPr>
                <w:rFonts w:eastAsia="Times New Roman" w:cs="Times New Roman"/>
                <w:b/>
                <w:bCs/>
                <w:sz w:val="20"/>
                <w:szCs w:val="20"/>
              </w:rPr>
            </w:pPr>
            <w:r w:rsidRPr="00D7704E">
              <w:rPr>
                <w:rFonts w:eastAsia="Times New Roman"/>
                <w:bCs/>
                <w:sz w:val="20"/>
                <w:szCs w:val="20"/>
              </w:rPr>
              <w:t>Agree. Okay to count individual tests.</w:t>
            </w:r>
          </w:p>
        </w:tc>
      </w:tr>
      <w:tr w:rsidR="00BF51BC" w:rsidRPr="00D7704E">
        <w:trPr>
          <w:trHeight w:val="630"/>
        </w:trPr>
        <w:tc>
          <w:tcPr>
            <w:tcW w:w="1170" w:type="dxa"/>
            <w:shd w:val="clear" w:color="auto" w:fill="286AA0"/>
          </w:tcPr>
          <w:p w:rsidR="00BF51BC" w:rsidRPr="00D7704E" w:rsidRDefault="00BF51BC"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BF51BC" w:rsidRPr="00D7704E" w:rsidRDefault="00BF51BC"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BF51BC" w:rsidRPr="00D7704E" w:rsidRDefault="00BF51BC"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BF51BC" w:rsidRPr="00D7704E" w:rsidRDefault="00BF51BC"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BF51BC" w:rsidRPr="00D7704E">
        <w:trPr>
          <w:trHeight w:val="980"/>
        </w:trPr>
        <w:tc>
          <w:tcPr>
            <w:tcW w:w="1170" w:type="dxa"/>
            <w:vMerge w:val="restart"/>
            <w:shd w:val="clear" w:color="auto" w:fill="auto"/>
          </w:tcPr>
          <w:p w:rsidR="00BF51BC" w:rsidRPr="00D7704E" w:rsidRDefault="00BF51BC" w:rsidP="009D085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BF51BC" w:rsidRPr="00D7704E" w:rsidRDefault="00BF51BC" w:rsidP="009D0858">
            <w:pPr>
              <w:rPr>
                <w:rFonts w:eastAsia="Times New Roman" w:cs="Times New Roman"/>
                <w:b/>
                <w:bCs/>
                <w:sz w:val="20"/>
                <w:szCs w:val="20"/>
              </w:rPr>
            </w:pPr>
            <w:r w:rsidRPr="00D7704E">
              <w:rPr>
                <w:rFonts w:eastAsia="Times New Roman"/>
                <w:b/>
                <w:bCs/>
                <w:sz w:val="20"/>
                <w:szCs w:val="20"/>
              </w:rPr>
              <w:t xml:space="preserve">MENU: </w:t>
            </w:r>
            <w:r w:rsidR="000729E9" w:rsidRPr="00D7704E">
              <w:rPr>
                <w:rFonts w:eastAsia="Times New Roman"/>
                <w:bCs/>
                <w:sz w:val="20"/>
                <w:szCs w:val="20"/>
              </w:rPr>
              <w:t>Generate lists of patients by specific conditions to use for quality improvement, reduction of disparities, research or outreach</w:t>
            </w:r>
          </w:p>
        </w:tc>
        <w:tc>
          <w:tcPr>
            <w:tcW w:w="3600" w:type="dxa"/>
            <w:tcBorders>
              <w:bottom w:val="single" w:sz="12" w:space="0" w:color="4F81BD" w:themeColor="accent1"/>
            </w:tcBorders>
            <w:shd w:val="clear" w:color="auto" w:fill="auto"/>
            <w:noWrap/>
          </w:tcPr>
          <w:p w:rsidR="00BF51BC" w:rsidRPr="00D7704E" w:rsidRDefault="000729E9" w:rsidP="009D0858">
            <w:pPr>
              <w:rPr>
                <w:rFonts w:eastAsia="Times New Roman" w:cs="Times New Roman"/>
                <w:bCs/>
                <w:sz w:val="20"/>
                <w:szCs w:val="20"/>
              </w:rPr>
            </w:pPr>
            <w:r w:rsidRPr="00D7704E">
              <w:rPr>
                <w:rFonts w:eastAsia="Times New Roman"/>
                <w:bCs/>
                <w:sz w:val="20"/>
                <w:szCs w:val="20"/>
              </w:rPr>
              <w:t>Generate lists of patients by multiple specific conditions to use for quality improvement, reduction of disparities, research or outreach</w:t>
            </w:r>
          </w:p>
        </w:tc>
        <w:tc>
          <w:tcPr>
            <w:tcW w:w="6030" w:type="dxa"/>
            <w:tcBorders>
              <w:bottom w:val="single" w:sz="12" w:space="0" w:color="4F81BD" w:themeColor="accent1"/>
            </w:tcBorders>
            <w:shd w:val="clear" w:color="auto" w:fill="auto"/>
            <w:noWrap/>
          </w:tcPr>
          <w:p w:rsidR="000729E9" w:rsidRPr="00D7704E" w:rsidRDefault="00BF51BC" w:rsidP="000729E9">
            <w:pPr>
              <w:spacing w:after="0" w:line="240" w:lineRule="auto"/>
              <w:rPr>
                <w:rFonts w:eastAsia="Times New Roman" w:cs="Times New Roman"/>
                <w:bCs/>
                <w:sz w:val="20"/>
                <w:szCs w:val="20"/>
              </w:rPr>
            </w:pPr>
            <w:r w:rsidRPr="00D7704E">
              <w:rPr>
                <w:rFonts w:eastAsia="Times New Roman" w:cs="Times New Roman"/>
                <w:b/>
                <w:bCs/>
                <w:sz w:val="20"/>
                <w:szCs w:val="20"/>
              </w:rPr>
              <w:t xml:space="preserve">EP Objective: </w:t>
            </w:r>
            <w:r w:rsidR="000729E9" w:rsidRPr="00D7704E">
              <w:rPr>
                <w:rFonts w:eastAsia="Times New Roman" w:cs="Times New Roman"/>
                <w:bCs/>
                <w:sz w:val="20"/>
                <w:szCs w:val="20"/>
              </w:rPr>
              <w:t>Generate lists of patients by specific conditions to use for quality improvement, reduction of disparities, research, or outreach</w:t>
            </w:r>
          </w:p>
          <w:p w:rsidR="00BF51BC" w:rsidRPr="00D7704E" w:rsidRDefault="00BF51BC" w:rsidP="000729E9">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Measure: </w:t>
            </w:r>
            <w:r w:rsidR="000729E9" w:rsidRPr="00D7704E">
              <w:rPr>
                <w:rFonts w:eastAsia="Times New Roman" w:cs="Times New Roman"/>
                <w:bCs/>
                <w:sz w:val="20"/>
                <w:szCs w:val="20"/>
              </w:rPr>
              <w:t>Generate at least one report listing patients of the EP, eligible hospital or CAH with a specific condition.</w:t>
            </w:r>
          </w:p>
        </w:tc>
      </w:tr>
      <w:tr w:rsidR="00BF51BC" w:rsidRPr="00D7704E">
        <w:trPr>
          <w:trHeight w:val="375"/>
        </w:trPr>
        <w:tc>
          <w:tcPr>
            <w:tcW w:w="1170" w:type="dxa"/>
            <w:vMerge/>
            <w:vAlign w:val="center"/>
          </w:tcPr>
          <w:p w:rsidR="00BF51BC" w:rsidRPr="00D7704E" w:rsidRDefault="00BF51BC" w:rsidP="009D085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BF51BC" w:rsidRDefault="007F2572" w:rsidP="009D0858">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p>
          <w:p w:rsidR="0073390F" w:rsidRDefault="0073390F" w:rsidP="009D0858">
            <w:pPr>
              <w:spacing w:after="0" w:line="240" w:lineRule="auto"/>
              <w:rPr>
                <w:rFonts w:eastAsia="Times New Roman" w:cs="Times New Roman"/>
                <w:b/>
                <w:bCs/>
                <w:color w:val="365F91" w:themeColor="accent1" w:themeShade="BF"/>
                <w:sz w:val="20"/>
                <w:szCs w:val="20"/>
              </w:rPr>
            </w:pPr>
            <w:r w:rsidRPr="00D7704E">
              <w:rPr>
                <w:rFonts w:eastAsia="Times New Roman"/>
                <w:bCs/>
                <w:sz w:val="20"/>
                <w:szCs w:val="20"/>
              </w:rPr>
              <w:t xml:space="preserve">Agree. We </w:t>
            </w:r>
            <w:r>
              <w:rPr>
                <w:rFonts w:eastAsia="Times New Roman"/>
                <w:bCs/>
                <w:sz w:val="20"/>
                <w:szCs w:val="20"/>
              </w:rPr>
              <w:t>recommend</w:t>
            </w:r>
            <w:r w:rsidRPr="00D7704E">
              <w:rPr>
                <w:rFonts w:eastAsia="Times New Roman"/>
                <w:bCs/>
                <w:sz w:val="20"/>
                <w:szCs w:val="20"/>
              </w:rPr>
              <w:t xml:space="preserve"> </w:t>
            </w:r>
            <w:r w:rsidR="004E2EA6">
              <w:rPr>
                <w:rFonts w:eastAsia="Times New Roman"/>
                <w:bCs/>
                <w:sz w:val="20"/>
                <w:szCs w:val="20"/>
              </w:rPr>
              <w:t xml:space="preserve">that queries for patient lists be able to accommodate </w:t>
            </w:r>
            <w:r w:rsidRPr="00D7704E">
              <w:rPr>
                <w:rFonts w:eastAsia="Times New Roman"/>
                <w:bCs/>
                <w:sz w:val="20"/>
                <w:szCs w:val="20"/>
              </w:rPr>
              <w:t>multiple specific conditions</w:t>
            </w:r>
            <w:r w:rsidR="004E2EA6">
              <w:rPr>
                <w:rFonts w:eastAsia="Times New Roman"/>
                <w:bCs/>
                <w:sz w:val="20"/>
                <w:szCs w:val="20"/>
              </w:rPr>
              <w:t xml:space="preserve"> (e.g., health condition, disparity variables)</w:t>
            </w:r>
            <w:r w:rsidRPr="00D7704E">
              <w:rPr>
                <w:rFonts w:eastAsia="Times New Roman"/>
                <w:bCs/>
                <w:sz w:val="20"/>
                <w:szCs w:val="20"/>
              </w:rPr>
              <w:t xml:space="preserve"> to ensure that EHRs were certified to handle more than one variable.</w:t>
            </w:r>
          </w:p>
          <w:p w:rsidR="0023271F" w:rsidRPr="00D7704E" w:rsidRDefault="0023271F" w:rsidP="009D0858">
            <w:pPr>
              <w:spacing w:after="0" w:line="240" w:lineRule="auto"/>
              <w:rPr>
                <w:rFonts w:eastAsia="Times New Roman" w:cs="Times New Roman"/>
                <w:b/>
                <w:bCs/>
                <w:sz w:val="20"/>
                <w:szCs w:val="20"/>
              </w:rPr>
            </w:pPr>
          </w:p>
        </w:tc>
      </w:tr>
    </w:tbl>
    <w:p w:rsidR="00BF51BC" w:rsidRPr="00D7704E" w:rsidRDefault="00BF51BC">
      <w:pPr>
        <w:rPr>
          <w:sz w:val="20"/>
          <w:szCs w:val="20"/>
        </w:rPr>
      </w:pPr>
    </w:p>
    <w:p w:rsidR="00B04FA8" w:rsidRDefault="00B04FA8">
      <w:r>
        <w:br w:type="page"/>
      </w:r>
    </w:p>
    <w:tbl>
      <w:tblPr>
        <w:tblW w:w="14490" w:type="dxa"/>
        <w:tblInd w:w="-7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170"/>
        <w:gridCol w:w="3690"/>
        <w:gridCol w:w="3600"/>
        <w:gridCol w:w="5760"/>
        <w:gridCol w:w="270"/>
      </w:tblGrid>
      <w:tr w:rsidR="000729E9" w:rsidRPr="00D7704E" w:rsidTr="00174FA6">
        <w:trPr>
          <w:trHeight w:val="630"/>
        </w:trPr>
        <w:tc>
          <w:tcPr>
            <w:tcW w:w="1170" w:type="dxa"/>
            <w:shd w:val="clear" w:color="auto" w:fill="286AA0"/>
          </w:tcPr>
          <w:p w:rsidR="000729E9" w:rsidRPr="00D7704E" w:rsidRDefault="000729E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shd w:val="clear" w:color="auto" w:fill="286AA0"/>
          </w:tcPr>
          <w:p w:rsidR="000729E9" w:rsidRPr="00D7704E" w:rsidRDefault="000729E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0729E9" w:rsidRPr="00D7704E" w:rsidRDefault="000729E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gridSpan w:val="2"/>
            <w:shd w:val="clear" w:color="auto" w:fill="286AA0"/>
          </w:tcPr>
          <w:p w:rsidR="000729E9" w:rsidRPr="00D7704E" w:rsidRDefault="000729E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0729E9" w:rsidRPr="00D7704E" w:rsidTr="00174FA6">
        <w:trPr>
          <w:trHeight w:val="980"/>
        </w:trPr>
        <w:tc>
          <w:tcPr>
            <w:tcW w:w="1170" w:type="dxa"/>
            <w:vMerge w:val="restart"/>
            <w:shd w:val="clear" w:color="auto" w:fill="auto"/>
          </w:tcPr>
          <w:p w:rsidR="000729E9" w:rsidRPr="00D7704E" w:rsidRDefault="000729E9" w:rsidP="009D085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0729E9" w:rsidRPr="00D7704E" w:rsidRDefault="000729E9" w:rsidP="009D0858">
            <w:pPr>
              <w:rPr>
                <w:rFonts w:eastAsia="Times New Roman" w:cs="Times New Roman"/>
                <w:b/>
                <w:bCs/>
                <w:sz w:val="20"/>
                <w:szCs w:val="20"/>
              </w:rPr>
            </w:pPr>
            <w:r w:rsidRPr="00D7704E">
              <w:rPr>
                <w:rFonts w:eastAsia="Times New Roman"/>
                <w:b/>
                <w:bCs/>
                <w:sz w:val="20"/>
                <w:szCs w:val="20"/>
              </w:rPr>
              <w:t xml:space="preserve">EP MENU: </w:t>
            </w:r>
            <w:r w:rsidRPr="00D7704E">
              <w:rPr>
                <w:rFonts w:eastAsia="Times New Roman"/>
                <w:bCs/>
                <w:sz w:val="20"/>
                <w:szCs w:val="20"/>
              </w:rPr>
              <w:t>Send preventive or follow-up reminders to more than 20% of all unique patients 65+ years old or 5 years old or younger</w:t>
            </w:r>
          </w:p>
        </w:tc>
        <w:tc>
          <w:tcPr>
            <w:tcW w:w="3600" w:type="dxa"/>
            <w:tcBorders>
              <w:bottom w:val="single" w:sz="12" w:space="0" w:color="4F81BD" w:themeColor="accent1"/>
            </w:tcBorders>
            <w:shd w:val="clear" w:color="auto" w:fill="auto"/>
            <w:noWrap/>
          </w:tcPr>
          <w:p w:rsidR="000729E9" w:rsidRPr="00D7704E" w:rsidRDefault="000729E9" w:rsidP="009D0858">
            <w:pPr>
              <w:rPr>
                <w:rFonts w:eastAsia="Times New Roman" w:cs="Times New Roman"/>
                <w:bCs/>
                <w:sz w:val="20"/>
                <w:szCs w:val="20"/>
              </w:rPr>
            </w:pPr>
            <w:r w:rsidRPr="00D7704E">
              <w:rPr>
                <w:rFonts w:eastAsia="Times New Roman"/>
                <w:bCs/>
                <w:sz w:val="20"/>
                <w:szCs w:val="20"/>
              </w:rPr>
              <w:t>EP: More than 10% of all active patients are sent a clinical reminder (reminder for an existing appointment does not count)</w:t>
            </w:r>
          </w:p>
        </w:tc>
        <w:tc>
          <w:tcPr>
            <w:tcW w:w="6030" w:type="dxa"/>
            <w:gridSpan w:val="2"/>
            <w:tcBorders>
              <w:bottom w:val="single" w:sz="12" w:space="0" w:color="4F81BD" w:themeColor="accent1"/>
            </w:tcBorders>
            <w:shd w:val="clear" w:color="auto" w:fill="auto"/>
            <w:noWrap/>
          </w:tcPr>
          <w:p w:rsidR="000729E9" w:rsidRPr="00D7704E" w:rsidRDefault="000729E9" w:rsidP="000729E9">
            <w:pPr>
              <w:spacing w:after="0" w:line="240" w:lineRule="auto"/>
              <w:rPr>
                <w:rFonts w:eastAsia="Times New Roman" w:cs="Times New Roman"/>
                <w:bCs/>
                <w:sz w:val="20"/>
                <w:szCs w:val="20"/>
              </w:rPr>
            </w:pPr>
            <w:r w:rsidRPr="00D7704E">
              <w:rPr>
                <w:rFonts w:eastAsia="Times New Roman" w:cs="Times New Roman"/>
                <w:b/>
                <w:bCs/>
                <w:sz w:val="20"/>
                <w:szCs w:val="20"/>
              </w:rPr>
              <w:t xml:space="preserve">EP Objective: </w:t>
            </w:r>
            <w:r w:rsidRPr="00D7704E">
              <w:rPr>
                <w:rFonts w:eastAsia="Times New Roman" w:cs="Times New Roman"/>
                <w:bCs/>
                <w:sz w:val="20"/>
                <w:szCs w:val="20"/>
              </w:rPr>
              <w:t>Use clinically relevant information to identify patients who should receive reminders for preventive/follow-up care</w:t>
            </w:r>
          </w:p>
          <w:p w:rsidR="000729E9" w:rsidRPr="00D7704E" w:rsidRDefault="000729E9" w:rsidP="000729E9">
            <w:pPr>
              <w:spacing w:after="0" w:line="240" w:lineRule="auto"/>
              <w:rPr>
                <w:rFonts w:eastAsia="Times New Roman" w:cs="Times New Roman"/>
                <w:bCs/>
                <w:sz w:val="20"/>
                <w:szCs w:val="20"/>
              </w:rPr>
            </w:pPr>
            <w:r w:rsidRPr="00D7704E">
              <w:rPr>
                <w:rFonts w:eastAsia="Times New Roman" w:cs="Times New Roman"/>
                <w:b/>
                <w:bCs/>
                <w:sz w:val="20"/>
                <w:szCs w:val="20"/>
              </w:rPr>
              <w:t>EP</w:t>
            </w:r>
            <w:r w:rsidRPr="00D7704E">
              <w:rPr>
                <w:rFonts w:eastAsia="Times New Roman" w:cs="Times New Roman"/>
                <w:bCs/>
                <w:sz w:val="20"/>
                <w:szCs w:val="20"/>
              </w:rPr>
              <w:t xml:space="preserve"> </w:t>
            </w:r>
            <w:r w:rsidRPr="00D7704E">
              <w:rPr>
                <w:rFonts w:eastAsia="Times New Roman" w:cs="Times New Roman"/>
                <w:b/>
                <w:bCs/>
                <w:sz w:val="20"/>
                <w:szCs w:val="20"/>
              </w:rPr>
              <w:t xml:space="preserve">Measure: </w:t>
            </w:r>
            <w:r w:rsidRPr="00D7704E">
              <w:rPr>
                <w:rFonts w:eastAsia="Times New Roman" w:cs="Times New Roman"/>
                <w:bCs/>
                <w:sz w:val="20"/>
                <w:szCs w:val="20"/>
              </w:rPr>
              <w:t>More than 10% of all unique patients who have had an office visit with the EP within the 24 months prior to the beginning of the EHR reporting period were sent a reminder, per patient preference</w:t>
            </w:r>
          </w:p>
        </w:tc>
      </w:tr>
      <w:tr w:rsidR="000729E9" w:rsidRPr="00D7704E" w:rsidTr="00174FA6">
        <w:trPr>
          <w:trHeight w:val="375"/>
        </w:trPr>
        <w:tc>
          <w:tcPr>
            <w:tcW w:w="1170" w:type="dxa"/>
            <w:vMerge/>
            <w:vAlign w:val="center"/>
          </w:tcPr>
          <w:p w:rsidR="000729E9" w:rsidRPr="00D7704E" w:rsidRDefault="000729E9" w:rsidP="009D0858">
            <w:pPr>
              <w:spacing w:after="0" w:line="240" w:lineRule="auto"/>
              <w:rPr>
                <w:rFonts w:eastAsia="Times New Roman" w:cs="Times New Roman"/>
                <w:b/>
                <w:bCs/>
                <w:sz w:val="20"/>
                <w:szCs w:val="20"/>
              </w:rPr>
            </w:pPr>
          </w:p>
        </w:tc>
        <w:tc>
          <w:tcPr>
            <w:tcW w:w="13320" w:type="dxa"/>
            <w:gridSpan w:val="4"/>
            <w:tcBorders>
              <w:top w:val="single" w:sz="12" w:space="0" w:color="4F81BD" w:themeColor="accent1"/>
            </w:tcBorders>
            <w:shd w:val="clear" w:color="000000" w:fill="FFFFFF"/>
          </w:tcPr>
          <w:p w:rsidR="000729E9" w:rsidRDefault="007F2572" w:rsidP="009D0858">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p>
          <w:p w:rsidR="0023271F" w:rsidRPr="00D7704E" w:rsidRDefault="0073390F" w:rsidP="009D0858">
            <w:pPr>
              <w:spacing w:after="0" w:line="240" w:lineRule="auto"/>
              <w:rPr>
                <w:rFonts w:eastAsia="Times New Roman" w:cs="Times New Roman"/>
                <w:b/>
                <w:bCs/>
                <w:sz w:val="20"/>
                <w:szCs w:val="20"/>
              </w:rPr>
            </w:pPr>
            <w:r w:rsidRPr="00D7704E">
              <w:rPr>
                <w:rFonts w:eastAsia="Times New Roman"/>
                <w:b/>
                <w:bCs/>
                <w:sz w:val="20"/>
                <w:szCs w:val="20"/>
              </w:rPr>
              <w:t xml:space="preserve">EP: </w:t>
            </w:r>
            <w:r w:rsidRPr="00D7704E">
              <w:rPr>
                <w:rFonts w:eastAsia="Times New Roman"/>
                <w:bCs/>
                <w:sz w:val="20"/>
                <w:szCs w:val="20"/>
              </w:rPr>
              <w:t>Agree. It may require exclusions for some specialists, such as surgeons who do not require follow up after the initial post-op visit or manage preventive services.</w:t>
            </w:r>
          </w:p>
        </w:tc>
      </w:tr>
      <w:tr w:rsidR="00C26F4B" w:rsidRPr="00D7704E" w:rsidTr="00174FA6">
        <w:trPr>
          <w:trHeight w:val="630"/>
        </w:trPr>
        <w:tc>
          <w:tcPr>
            <w:tcW w:w="1170" w:type="dxa"/>
            <w:shd w:val="clear" w:color="auto" w:fill="286AA0"/>
          </w:tcPr>
          <w:p w:rsidR="00C26F4B" w:rsidRPr="00D7704E" w:rsidRDefault="00AF5053" w:rsidP="00AF0BD8">
            <w:pPr>
              <w:spacing w:after="0" w:line="240" w:lineRule="auto"/>
              <w:jc w:val="center"/>
              <w:rPr>
                <w:rFonts w:ascii="Garamond" w:eastAsia="Times New Roman" w:hAnsi="Garamond" w:cs="Times New Roman"/>
                <w:b/>
                <w:bCs/>
                <w:color w:val="FFFFFF"/>
                <w:sz w:val="20"/>
                <w:szCs w:val="20"/>
              </w:rPr>
            </w:pPr>
            <w:r w:rsidRPr="00D7704E">
              <w:rPr>
                <w:sz w:val="20"/>
                <w:szCs w:val="20"/>
              </w:rPr>
              <w:br w:type="page"/>
            </w:r>
            <w:r w:rsidR="00C26F4B" w:rsidRPr="00D7704E">
              <w:rPr>
                <w:rFonts w:ascii="Garamond" w:eastAsia="Times New Roman" w:hAnsi="Garamond" w:cs="Times New Roman"/>
                <w:b/>
                <w:bCs/>
                <w:color w:val="FFFFFF"/>
                <w:sz w:val="20"/>
                <w:szCs w:val="20"/>
              </w:rPr>
              <w:t>Policy Priority</w:t>
            </w:r>
          </w:p>
        </w:tc>
        <w:tc>
          <w:tcPr>
            <w:tcW w:w="369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gridSpan w:val="2"/>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rsidTr="00174FA6">
        <w:trPr>
          <w:trHeight w:val="440"/>
        </w:trPr>
        <w:tc>
          <w:tcPr>
            <w:tcW w:w="1170" w:type="dxa"/>
            <w:vMerge w:val="restart"/>
            <w:shd w:val="clear" w:color="auto" w:fill="auto"/>
          </w:tcPr>
          <w:p w:rsidR="00C26F4B" w:rsidRPr="00D7704E" w:rsidRDefault="00C26F4B"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C26F4B" w:rsidRPr="00D7704E" w:rsidRDefault="00C26F4B" w:rsidP="00C26F4B">
            <w:pPr>
              <w:rPr>
                <w:rFonts w:eastAsia="Times New Roman"/>
                <w:b/>
                <w:bCs/>
                <w:sz w:val="20"/>
                <w:szCs w:val="20"/>
              </w:rPr>
            </w:pPr>
            <w:r w:rsidRPr="00D7704E">
              <w:rPr>
                <w:rFonts w:eastAsia="Times New Roman"/>
                <w:b/>
                <w:bCs/>
                <w:sz w:val="20"/>
                <w:szCs w:val="20"/>
              </w:rPr>
              <w:t>N/A</w:t>
            </w:r>
          </w:p>
          <w:p w:rsidR="00C26F4B" w:rsidRPr="00D7704E" w:rsidRDefault="00C26F4B" w:rsidP="00C26F4B">
            <w:pPr>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C26F4B" w:rsidRPr="00D7704E" w:rsidRDefault="00C26F4B" w:rsidP="00C26F4B">
            <w:pPr>
              <w:rPr>
                <w:rFonts w:eastAsia="Times New Roman" w:cs="Times New Roman"/>
                <w:bCs/>
                <w:sz w:val="20"/>
                <w:szCs w:val="20"/>
              </w:rPr>
            </w:pPr>
            <w:r w:rsidRPr="00D7704E">
              <w:rPr>
                <w:rFonts w:eastAsia="Times New Roman"/>
                <w:b/>
                <w:bCs/>
                <w:sz w:val="20"/>
                <w:szCs w:val="20"/>
              </w:rPr>
              <w:t xml:space="preserve">EH: </w:t>
            </w:r>
            <w:r w:rsidRPr="00D7704E">
              <w:rPr>
                <w:rFonts w:eastAsia="Times New Roman"/>
                <w:bCs/>
                <w:sz w:val="20"/>
                <w:szCs w:val="20"/>
              </w:rPr>
              <w:t xml:space="preserve">Medication orders automatically tracked via electronic medication administration record in-use in at least one hospital ward/unit </w:t>
            </w:r>
          </w:p>
        </w:tc>
        <w:tc>
          <w:tcPr>
            <w:tcW w:w="6030" w:type="dxa"/>
            <w:gridSpan w:val="2"/>
            <w:tcBorders>
              <w:bottom w:val="single" w:sz="12" w:space="0" w:color="4F81BD" w:themeColor="accent1"/>
            </w:tcBorders>
            <w:shd w:val="clear" w:color="auto" w:fill="auto"/>
            <w:noWrap/>
          </w:tcPr>
          <w:p w:rsidR="00BF51BC" w:rsidRPr="00D7704E" w:rsidRDefault="00C26F4B" w:rsidP="00BF51BC">
            <w:pPr>
              <w:spacing w:after="0" w:line="240" w:lineRule="auto"/>
              <w:rPr>
                <w:rFonts w:eastAsia="Times New Roman" w:cs="Times New Roman"/>
                <w:bCs/>
                <w:sz w:val="20"/>
                <w:szCs w:val="20"/>
              </w:rPr>
            </w:pPr>
            <w:r w:rsidRPr="00D7704E">
              <w:rPr>
                <w:rFonts w:eastAsia="Times New Roman" w:cs="Times New Roman"/>
                <w:b/>
                <w:bCs/>
                <w:sz w:val="20"/>
                <w:szCs w:val="20"/>
              </w:rPr>
              <w:t>EH</w:t>
            </w:r>
            <w:r w:rsidR="00BF51BC" w:rsidRPr="00D7704E">
              <w:rPr>
                <w:rFonts w:eastAsia="Times New Roman" w:cs="Times New Roman"/>
                <w:b/>
                <w:bCs/>
                <w:sz w:val="20"/>
                <w:szCs w:val="20"/>
              </w:rPr>
              <w:t xml:space="preserve"> Objective: </w:t>
            </w:r>
            <w:r w:rsidR="00BF51BC" w:rsidRPr="00D7704E">
              <w:rPr>
                <w:rFonts w:eastAsia="Times New Roman" w:cs="Times New Roman"/>
                <w:bCs/>
                <w:sz w:val="20"/>
                <w:szCs w:val="20"/>
              </w:rPr>
              <w:t>Automatically track medications from order to administration using assistive technologies in conjunction with an electronic medication administration record (</w:t>
            </w:r>
            <w:proofErr w:type="spellStart"/>
            <w:r w:rsidR="00BF51BC" w:rsidRPr="00D7704E">
              <w:rPr>
                <w:rFonts w:eastAsia="Times New Roman" w:cs="Times New Roman"/>
                <w:bCs/>
                <w:sz w:val="20"/>
                <w:szCs w:val="20"/>
              </w:rPr>
              <w:t>eMAR</w:t>
            </w:r>
            <w:proofErr w:type="spellEnd"/>
            <w:r w:rsidR="00BF51BC" w:rsidRPr="00D7704E">
              <w:rPr>
                <w:rFonts w:eastAsia="Times New Roman" w:cs="Times New Roman"/>
                <w:bCs/>
                <w:sz w:val="20"/>
                <w:szCs w:val="20"/>
              </w:rPr>
              <w:t>)</w:t>
            </w:r>
          </w:p>
          <w:p w:rsidR="00C26F4B" w:rsidRPr="00D7704E" w:rsidRDefault="00BF51BC" w:rsidP="00BF51BC">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More than 10% of medication orders created by authorized providers of the eligible hospital's or CAH's inpatient or emergency department (POS 21 or 23) during the EHR reporting period are tracked using </w:t>
            </w:r>
            <w:proofErr w:type="spellStart"/>
            <w:r w:rsidRPr="00D7704E">
              <w:rPr>
                <w:rFonts w:eastAsia="Times New Roman" w:cs="Times New Roman"/>
                <w:bCs/>
                <w:sz w:val="20"/>
                <w:szCs w:val="20"/>
              </w:rPr>
              <w:t>eMAR</w:t>
            </w:r>
            <w:proofErr w:type="spellEnd"/>
            <w:r w:rsidRPr="00D7704E">
              <w:rPr>
                <w:rFonts w:eastAsia="Times New Roman" w:cs="Times New Roman"/>
                <w:bCs/>
                <w:sz w:val="20"/>
                <w:szCs w:val="20"/>
              </w:rPr>
              <w:t>.</w:t>
            </w:r>
          </w:p>
        </w:tc>
      </w:tr>
      <w:tr w:rsidR="00C26F4B" w:rsidRPr="00D7704E" w:rsidTr="00174FA6">
        <w:trPr>
          <w:trHeight w:val="375"/>
        </w:trPr>
        <w:tc>
          <w:tcPr>
            <w:tcW w:w="1170" w:type="dxa"/>
            <w:vMerge/>
            <w:vAlign w:val="center"/>
          </w:tcPr>
          <w:p w:rsidR="00C26F4B" w:rsidRPr="00D7704E" w:rsidRDefault="00C26F4B" w:rsidP="00AF0BD8">
            <w:pPr>
              <w:spacing w:after="0" w:line="240" w:lineRule="auto"/>
              <w:rPr>
                <w:rFonts w:eastAsia="Times New Roman" w:cs="Times New Roman"/>
                <w:b/>
                <w:bCs/>
                <w:sz w:val="20"/>
                <w:szCs w:val="20"/>
              </w:rPr>
            </w:pPr>
          </w:p>
        </w:tc>
        <w:tc>
          <w:tcPr>
            <w:tcW w:w="13320" w:type="dxa"/>
            <w:gridSpan w:val="4"/>
            <w:tcBorders>
              <w:top w:val="single" w:sz="12" w:space="0" w:color="4F81BD" w:themeColor="accent1"/>
            </w:tcBorders>
            <w:shd w:val="clear" w:color="000000" w:fill="FFFFFF"/>
          </w:tcPr>
          <w:p w:rsidR="00C26F4B" w:rsidRPr="00D7704E" w:rsidRDefault="007F2572" w:rsidP="009D0858">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Comments</w:t>
            </w:r>
            <w:r w:rsidR="0023271F">
              <w:rPr>
                <w:rFonts w:eastAsia="Times New Roman" w:cs="Times New Roman"/>
                <w:b/>
                <w:bCs/>
                <w:color w:val="365F91" w:themeColor="accent1" w:themeShade="BF"/>
                <w:sz w:val="20"/>
                <w:szCs w:val="20"/>
              </w:rPr>
              <w:t xml:space="preserve"> </w:t>
            </w:r>
            <w:r w:rsidR="0023271F" w:rsidRPr="00A11CDD">
              <w:rPr>
                <w:rFonts w:eastAsia="Times New Roman" w:cs="Times New Roman"/>
                <w:b/>
                <w:bCs/>
                <w:sz w:val="20"/>
                <w:szCs w:val="20"/>
              </w:rPr>
              <w:t>Agree.</w:t>
            </w:r>
          </w:p>
        </w:tc>
      </w:tr>
      <w:tr w:rsidR="00AF0BD8" w:rsidRPr="00D7704E" w:rsidTr="00174FA6">
        <w:trPr>
          <w:gridAfter w:val="1"/>
          <w:wAfter w:w="270" w:type="dxa"/>
          <w:trHeight w:val="630"/>
        </w:trPr>
        <w:tc>
          <w:tcPr>
            <w:tcW w:w="117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76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F0BD8" w:rsidRPr="00D7704E" w:rsidTr="00174FA6">
        <w:trPr>
          <w:gridAfter w:val="1"/>
          <w:wAfter w:w="270" w:type="dxa"/>
          <w:trHeight w:val="440"/>
        </w:trPr>
        <w:tc>
          <w:tcPr>
            <w:tcW w:w="1170" w:type="dxa"/>
            <w:vMerge w:val="restart"/>
            <w:shd w:val="clear" w:color="auto" w:fill="auto"/>
          </w:tcPr>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Cs/>
                <w:sz w:val="20"/>
                <w:szCs w:val="20"/>
              </w:rPr>
            </w:pPr>
          </w:p>
        </w:tc>
        <w:tc>
          <w:tcPr>
            <w:tcW w:w="5760" w:type="dxa"/>
            <w:tcBorders>
              <w:bottom w:val="single" w:sz="12" w:space="0" w:color="4F81BD" w:themeColor="accent1"/>
            </w:tcBorders>
            <w:shd w:val="clear" w:color="auto" w:fill="auto"/>
            <w:noWrap/>
          </w:tcPr>
          <w:p w:rsidR="00BF51BC" w:rsidRPr="00D7704E" w:rsidRDefault="00BF51BC" w:rsidP="00BF51BC">
            <w:pPr>
              <w:spacing w:after="0" w:line="240" w:lineRule="auto"/>
              <w:rPr>
                <w:rFonts w:eastAsia="Times New Roman" w:cs="Times New Roman"/>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Incorporate imaging results and information into Certified EHR Technology</w:t>
            </w:r>
          </w:p>
          <w:p w:rsidR="00AF0BD8" w:rsidRPr="00D7704E" w:rsidRDefault="00BF51BC" w:rsidP="00BF51BC">
            <w:pPr>
              <w:spacing w:after="0" w:line="240" w:lineRule="auto"/>
              <w:rPr>
                <w:rFonts w:eastAsia="Times New Roman" w:cs="Times New Roman"/>
                <w:bCs/>
                <w:sz w:val="20"/>
                <w:szCs w:val="20"/>
              </w:rPr>
            </w:pPr>
            <w:r w:rsidRPr="00D7704E">
              <w:rPr>
                <w:rFonts w:eastAsia="Times New Roman" w:cs="Times New Roman"/>
                <w:b/>
                <w:bCs/>
                <w:sz w:val="20"/>
                <w:szCs w:val="20"/>
              </w:rPr>
              <w:t xml:space="preserve">Menu Measure: </w:t>
            </w:r>
            <w:r w:rsidRPr="00D7704E">
              <w:rPr>
                <w:rFonts w:eastAsia="Times New Roman" w:cs="Times New Roman"/>
                <w:bCs/>
                <w:sz w:val="20"/>
                <w:szCs w:val="20"/>
              </w:rPr>
              <w:t>More than 40% of all scans and tests whose result is an image ordered by the EP or by an authorized provider of the eligible hospital or CAH for patients admitted to its inpatient or emergency department (POS 21 and 23) during the EHR reporting period are incorporated into or accessible through Certified EHR Technology</w:t>
            </w:r>
          </w:p>
        </w:tc>
      </w:tr>
      <w:tr w:rsidR="00AF0BD8" w:rsidRPr="00D7704E" w:rsidTr="00174FA6">
        <w:trPr>
          <w:gridAfter w:val="1"/>
          <w:wAfter w:w="270" w:type="dxa"/>
          <w:trHeight w:val="375"/>
        </w:trPr>
        <w:tc>
          <w:tcPr>
            <w:tcW w:w="1170" w:type="dxa"/>
            <w:vMerge/>
            <w:vAlign w:val="center"/>
          </w:tcPr>
          <w:p w:rsidR="00AF0BD8" w:rsidRPr="00D7704E" w:rsidRDefault="00AF0BD8" w:rsidP="00AF0BD8">
            <w:pPr>
              <w:spacing w:after="0" w:line="240" w:lineRule="auto"/>
              <w:rPr>
                <w:rFonts w:eastAsia="Times New Roman" w:cs="Times New Roman"/>
                <w:b/>
                <w:bCs/>
                <w:sz w:val="20"/>
                <w:szCs w:val="20"/>
              </w:rPr>
            </w:pPr>
          </w:p>
        </w:tc>
        <w:tc>
          <w:tcPr>
            <w:tcW w:w="13050" w:type="dxa"/>
            <w:gridSpan w:val="3"/>
            <w:tcBorders>
              <w:top w:val="single" w:sz="12" w:space="0" w:color="4F81BD" w:themeColor="accent1"/>
            </w:tcBorders>
            <w:shd w:val="clear" w:color="000000" w:fill="FFFFFF"/>
          </w:tcPr>
          <w:p w:rsidR="0023271F" w:rsidRPr="00D7704E" w:rsidRDefault="007F2572" w:rsidP="003D5ADD">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Comments</w:t>
            </w:r>
            <w:r w:rsidR="00DD76AB">
              <w:rPr>
                <w:rFonts w:eastAsia="Times New Roman" w:cs="Times New Roman"/>
                <w:b/>
                <w:bCs/>
                <w:color w:val="365F91" w:themeColor="accent1" w:themeShade="BF"/>
                <w:sz w:val="20"/>
                <w:szCs w:val="20"/>
              </w:rPr>
              <w:t xml:space="preserve"> </w:t>
            </w:r>
            <w:r w:rsidR="0073390F" w:rsidRPr="00D7704E">
              <w:rPr>
                <w:rFonts w:eastAsia="Times New Roman" w:cs="Times New Roman"/>
                <w:bCs/>
                <w:sz w:val="20"/>
                <w:szCs w:val="20"/>
              </w:rPr>
              <w:t>(1) We agree with the proposed objective, but would re</w:t>
            </w:r>
            <w:r w:rsidR="0073390F">
              <w:rPr>
                <w:rFonts w:eastAsia="Times New Roman" w:cs="Times New Roman"/>
                <w:bCs/>
                <w:sz w:val="20"/>
                <w:szCs w:val="20"/>
              </w:rPr>
              <w:t xml:space="preserve">commend a 10% threshold with </w:t>
            </w:r>
            <w:proofErr w:type="gramStart"/>
            <w:r w:rsidR="0073390F">
              <w:rPr>
                <w:rFonts w:eastAsia="Times New Roman" w:cs="Times New Roman"/>
                <w:bCs/>
                <w:sz w:val="20"/>
                <w:szCs w:val="20"/>
              </w:rPr>
              <w:t xml:space="preserve">an </w:t>
            </w:r>
            <w:r w:rsidR="0073390F" w:rsidRPr="00D7704E">
              <w:rPr>
                <w:rFonts w:eastAsia="Times New Roman" w:cs="Times New Roman"/>
                <w:bCs/>
                <w:sz w:val="20"/>
                <w:szCs w:val="20"/>
              </w:rPr>
              <w:t>exclusion</w:t>
            </w:r>
            <w:proofErr w:type="gramEnd"/>
            <w:r w:rsidR="0073390F" w:rsidRPr="00D7704E">
              <w:rPr>
                <w:rFonts w:eastAsia="Times New Roman" w:cs="Times New Roman"/>
                <w:bCs/>
                <w:sz w:val="20"/>
                <w:szCs w:val="20"/>
              </w:rPr>
              <w:t xml:space="preserve"> if they have no access to electronic images (e.g., local imaging centers do not offer electronic access). (2) Re: question about a potential measure requiring exchanging images for 10%.  While we agree with the spirit of the potential measure, we believe that Stage 2 </w:t>
            </w:r>
            <w:r w:rsidR="003D5ADD">
              <w:rPr>
                <w:rFonts w:eastAsia="Times New Roman" w:cs="Times New Roman"/>
                <w:bCs/>
                <w:sz w:val="20"/>
                <w:szCs w:val="20"/>
              </w:rPr>
              <w:t>is</w:t>
            </w:r>
            <w:r w:rsidR="0073390F" w:rsidRPr="00D7704E">
              <w:rPr>
                <w:rFonts w:eastAsia="Times New Roman" w:cs="Times New Roman"/>
                <w:bCs/>
                <w:sz w:val="20"/>
                <w:szCs w:val="20"/>
              </w:rPr>
              <w:t xml:space="preserve"> too soon to expect EPs and EHs to share images with outside providers.</w:t>
            </w:r>
          </w:p>
        </w:tc>
      </w:tr>
    </w:tbl>
    <w:p w:rsidR="00174FA6" w:rsidRDefault="00174FA6">
      <w:r>
        <w:br w:type="page"/>
      </w:r>
    </w:p>
    <w:tbl>
      <w:tblPr>
        <w:tblW w:w="14310" w:type="dxa"/>
        <w:tblInd w:w="-7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170"/>
        <w:gridCol w:w="2520"/>
        <w:gridCol w:w="1170"/>
        <w:gridCol w:w="3600"/>
        <w:gridCol w:w="5760"/>
        <w:gridCol w:w="90"/>
      </w:tblGrid>
      <w:tr w:rsidR="00AF0BD8" w:rsidRPr="00D7704E" w:rsidTr="00174FA6">
        <w:trPr>
          <w:gridAfter w:val="1"/>
          <w:wAfter w:w="90" w:type="dxa"/>
          <w:trHeight w:val="630"/>
        </w:trPr>
        <w:tc>
          <w:tcPr>
            <w:tcW w:w="117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76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F0BD8" w:rsidRPr="00D7704E" w:rsidTr="00174FA6">
        <w:trPr>
          <w:gridAfter w:val="1"/>
          <w:wAfter w:w="90" w:type="dxa"/>
          <w:trHeight w:val="440"/>
        </w:trPr>
        <w:tc>
          <w:tcPr>
            <w:tcW w:w="1170" w:type="dxa"/>
            <w:vMerge w:val="restart"/>
            <w:shd w:val="clear" w:color="auto" w:fill="auto"/>
          </w:tcPr>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gridSpan w:val="2"/>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Cs/>
                <w:sz w:val="20"/>
                <w:szCs w:val="20"/>
              </w:rPr>
            </w:pPr>
          </w:p>
        </w:tc>
        <w:tc>
          <w:tcPr>
            <w:tcW w:w="5760" w:type="dxa"/>
            <w:tcBorders>
              <w:bottom w:val="single" w:sz="12" w:space="0" w:color="4F81BD" w:themeColor="accent1"/>
            </w:tcBorders>
            <w:shd w:val="clear" w:color="auto" w:fill="auto"/>
            <w:noWrap/>
          </w:tcPr>
          <w:p w:rsidR="003A1207" w:rsidRPr="00D7704E" w:rsidRDefault="003A1207" w:rsidP="003A1207">
            <w:pPr>
              <w:spacing w:after="0" w:line="240" w:lineRule="auto"/>
              <w:rPr>
                <w:rFonts w:eastAsia="Times New Roman" w:cs="Times New Roman"/>
                <w:bCs/>
                <w:sz w:val="20"/>
                <w:szCs w:val="20"/>
              </w:rPr>
            </w:pPr>
            <w:r w:rsidRPr="00D7704E">
              <w:rPr>
                <w:rFonts w:eastAsia="Times New Roman" w:cs="Times New Roman"/>
                <w:b/>
                <w:bCs/>
                <w:sz w:val="20"/>
                <w:szCs w:val="20"/>
              </w:rPr>
              <w:t>Objective:</w:t>
            </w:r>
            <w:r w:rsidRPr="00D7704E">
              <w:rPr>
                <w:rFonts w:eastAsia="Times New Roman" w:cs="Times New Roman"/>
                <w:bCs/>
                <w:sz w:val="20"/>
                <w:szCs w:val="20"/>
              </w:rPr>
              <w:t xml:space="preserve"> Record patient family health history</w:t>
            </w:r>
          </w:p>
          <w:p w:rsidR="003A1207" w:rsidRPr="00D7704E" w:rsidRDefault="003A1207" w:rsidP="003A1207">
            <w:pPr>
              <w:spacing w:after="0" w:line="240" w:lineRule="auto"/>
              <w:rPr>
                <w:rFonts w:eastAsia="Times New Roman" w:cs="Times New Roman"/>
                <w:bCs/>
                <w:sz w:val="20"/>
                <w:szCs w:val="20"/>
              </w:rPr>
            </w:pPr>
            <w:r w:rsidRPr="00D7704E">
              <w:rPr>
                <w:rFonts w:eastAsia="Times New Roman" w:cs="Times New Roman"/>
                <w:bCs/>
                <w:sz w:val="20"/>
                <w:szCs w:val="20"/>
              </w:rPr>
              <w:t>as structured data</w:t>
            </w:r>
          </w:p>
          <w:p w:rsidR="00AF0BD8" w:rsidRPr="00D7704E" w:rsidRDefault="003A1207" w:rsidP="003A1207">
            <w:pPr>
              <w:spacing w:after="0" w:line="240" w:lineRule="auto"/>
              <w:rPr>
                <w:rFonts w:eastAsia="Times New Roman" w:cs="Times New Roman"/>
                <w:bCs/>
                <w:sz w:val="20"/>
                <w:szCs w:val="20"/>
              </w:rPr>
            </w:pPr>
            <w:r w:rsidRPr="00D7704E">
              <w:rPr>
                <w:rFonts w:eastAsia="Times New Roman" w:cs="Times New Roman"/>
                <w:b/>
                <w:bCs/>
                <w:sz w:val="20"/>
                <w:szCs w:val="20"/>
              </w:rPr>
              <w:t>Menu Measure:</w:t>
            </w:r>
            <w:r w:rsidRPr="00D7704E">
              <w:rPr>
                <w:rFonts w:eastAsia="Times New Roman" w:cs="Times New Roman"/>
                <w:bCs/>
                <w:sz w:val="20"/>
                <w:szCs w:val="20"/>
              </w:rPr>
              <w:t xml:space="preserve"> More than 20% of all unique patients seen by the EP or admitted to the eligible hospital or CAH's inpatient or emergency department (POS 21 or 23) during the EHR reporting period have a structured data entry for one or more first-degree relatives or an indication that family health history has been reviewed</w:t>
            </w:r>
          </w:p>
        </w:tc>
      </w:tr>
      <w:tr w:rsidR="00AF0BD8" w:rsidRPr="00D7704E" w:rsidTr="00174FA6">
        <w:trPr>
          <w:gridAfter w:val="1"/>
          <w:wAfter w:w="90" w:type="dxa"/>
          <w:trHeight w:val="375"/>
        </w:trPr>
        <w:tc>
          <w:tcPr>
            <w:tcW w:w="1170" w:type="dxa"/>
            <w:vMerge/>
            <w:vAlign w:val="center"/>
          </w:tcPr>
          <w:p w:rsidR="00AF0BD8" w:rsidRPr="00D7704E" w:rsidRDefault="00AF0BD8" w:rsidP="00AF0BD8">
            <w:pPr>
              <w:spacing w:after="0" w:line="240" w:lineRule="auto"/>
              <w:rPr>
                <w:rFonts w:eastAsia="Times New Roman" w:cs="Times New Roman"/>
                <w:b/>
                <w:bCs/>
                <w:sz w:val="20"/>
                <w:szCs w:val="20"/>
              </w:rPr>
            </w:pPr>
          </w:p>
        </w:tc>
        <w:tc>
          <w:tcPr>
            <w:tcW w:w="13050" w:type="dxa"/>
            <w:gridSpan w:val="4"/>
            <w:tcBorders>
              <w:top w:val="single" w:sz="12" w:space="0" w:color="4F81BD" w:themeColor="accent1"/>
            </w:tcBorders>
            <w:shd w:val="clear" w:color="000000" w:fill="FFFFFF"/>
          </w:tcPr>
          <w:p w:rsidR="00AF0BD8" w:rsidRDefault="007F2572" w:rsidP="009D0858">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p>
          <w:p w:rsidR="003D5ADD" w:rsidRDefault="003D5ADD" w:rsidP="009D0858">
            <w:pPr>
              <w:spacing w:after="0" w:line="240" w:lineRule="auto"/>
              <w:rPr>
                <w:rFonts w:eastAsia="Times New Roman" w:cs="Times New Roman"/>
                <w:b/>
                <w:bCs/>
                <w:color w:val="365F91" w:themeColor="accent1" w:themeShade="BF"/>
                <w:sz w:val="20"/>
                <w:szCs w:val="20"/>
              </w:rPr>
            </w:pPr>
          </w:p>
          <w:p w:rsidR="00DD76AB" w:rsidRPr="00D7704E" w:rsidRDefault="00A06A41" w:rsidP="003D5ADD">
            <w:pPr>
              <w:spacing w:after="0" w:line="240" w:lineRule="auto"/>
              <w:rPr>
                <w:rFonts w:eastAsia="Times New Roman" w:cs="Times New Roman"/>
                <w:b/>
                <w:bCs/>
                <w:sz w:val="20"/>
                <w:szCs w:val="20"/>
              </w:rPr>
            </w:pPr>
            <w:r>
              <w:rPr>
                <w:rFonts w:eastAsia="Times New Roman"/>
                <w:bCs/>
                <w:sz w:val="20"/>
                <w:szCs w:val="20"/>
              </w:rPr>
              <w:t>Agree with this measure as a menu item</w:t>
            </w:r>
            <w:r w:rsidR="003D5ADD">
              <w:rPr>
                <w:rFonts w:eastAsia="Times New Roman"/>
                <w:bCs/>
                <w:sz w:val="20"/>
                <w:szCs w:val="20"/>
              </w:rPr>
              <w:t xml:space="preserve">.  </w:t>
            </w:r>
          </w:p>
        </w:tc>
      </w:tr>
      <w:tr w:rsidR="00AF0BD8" w:rsidRPr="00D7704E" w:rsidTr="00174FA6">
        <w:trPr>
          <w:trHeight w:val="630"/>
        </w:trPr>
        <w:tc>
          <w:tcPr>
            <w:tcW w:w="117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252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477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F0BD8" w:rsidRPr="00D7704E" w:rsidTr="00174FA6">
        <w:trPr>
          <w:trHeight w:val="440"/>
        </w:trPr>
        <w:tc>
          <w:tcPr>
            <w:tcW w:w="1170" w:type="dxa"/>
            <w:vMerge w:val="restart"/>
            <w:shd w:val="clear" w:color="auto" w:fill="auto"/>
          </w:tcPr>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252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
                <w:bCs/>
                <w:sz w:val="20"/>
                <w:szCs w:val="20"/>
              </w:rPr>
            </w:pPr>
          </w:p>
        </w:tc>
        <w:tc>
          <w:tcPr>
            <w:tcW w:w="4770" w:type="dxa"/>
            <w:gridSpan w:val="2"/>
            <w:tcBorders>
              <w:bottom w:val="single" w:sz="12" w:space="0" w:color="4F81BD" w:themeColor="accent1"/>
            </w:tcBorders>
            <w:shd w:val="clear" w:color="auto" w:fill="auto"/>
            <w:noWrap/>
          </w:tcPr>
          <w:p w:rsidR="00AF0BD8" w:rsidRPr="00D7704E" w:rsidRDefault="000729E9" w:rsidP="00AF0BD8">
            <w:pPr>
              <w:rPr>
                <w:rFonts w:eastAsia="Times New Roman"/>
                <w:bCs/>
                <w:sz w:val="20"/>
                <w:szCs w:val="20"/>
              </w:rPr>
            </w:pPr>
            <w:r w:rsidRPr="00D7704E">
              <w:rPr>
                <w:rFonts w:eastAsia="Times New Roman"/>
                <w:b/>
                <w:bCs/>
                <w:sz w:val="20"/>
                <w:szCs w:val="20"/>
              </w:rPr>
              <w:t>EP:</w:t>
            </w:r>
            <w:r w:rsidRPr="00D7704E">
              <w:rPr>
                <w:rFonts w:eastAsia="Times New Roman"/>
                <w:bCs/>
                <w:sz w:val="20"/>
                <w:szCs w:val="20"/>
              </w:rPr>
              <w:t xml:space="preserve"> Enter at least one electronic note by a physician, physician assistant, or nurse practitioner, broadly defined, for more than 30% of unique visits during the reporting period (non-searchable, scanned notes do not qualify)</w:t>
            </w:r>
          </w:p>
          <w:p w:rsidR="00AF0BD8" w:rsidRPr="00D7704E" w:rsidRDefault="000729E9" w:rsidP="00174FA6">
            <w:pPr>
              <w:rPr>
                <w:rFonts w:eastAsia="Times New Roman" w:cs="Times New Roman"/>
                <w:bCs/>
                <w:sz w:val="20"/>
                <w:szCs w:val="20"/>
              </w:rPr>
            </w:pPr>
            <w:r w:rsidRPr="00D7704E">
              <w:rPr>
                <w:rFonts w:eastAsia="Times New Roman"/>
                <w:b/>
                <w:bCs/>
                <w:sz w:val="20"/>
                <w:szCs w:val="20"/>
              </w:rPr>
              <w:t>EH:</w:t>
            </w:r>
            <w:r w:rsidRPr="00D7704E">
              <w:rPr>
                <w:rFonts w:eastAsia="Times New Roman"/>
                <w:bCs/>
                <w:sz w:val="20"/>
                <w:szCs w:val="20"/>
              </w:rPr>
              <w:t xml:space="preserve"> Enter at least one electronic note by a physician, physician assistant, or nurse practitioner, broadly defined, for more than 30% of eligible hospital days (non-searchable, scanned notes do not qualify)</w:t>
            </w:r>
          </w:p>
        </w:tc>
        <w:tc>
          <w:tcPr>
            <w:tcW w:w="5850" w:type="dxa"/>
            <w:gridSpan w:val="2"/>
            <w:tcBorders>
              <w:bottom w:val="single" w:sz="12" w:space="0" w:color="4F81BD" w:themeColor="accent1"/>
            </w:tcBorders>
            <w:shd w:val="clear" w:color="auto" w:fill="auto"/>
            <w:noWrap/>
          </w:tcPr>
          <w:p w:rsidR="00AF0BD8" w:rsidRPr="00D7704E" w:rsidRDefault="00AF0BD8" w:rsidP="00AF0BD8">
            <w:pPr>
              <w:spacing w:after="0" w:line="240" w:lineRule="auto"/>
              <w:rPr>
                <w:rFonts w:eastAsia="Times New Roman" w:cs="Times New Roman"/>
                <w:bCs/>
                <w:sz w:val="20"/>
                <w:szCs w:val="20"/>
              </w:rPr>
            </w:pPr>
            <w:r w:rsidRPr="00D7704E">
              <w:rPr>
                <w:rFonts w:eastAsia="Times New Roman" w:cs="Times New Roman"/>
                <w:b/>
                <w:bCs/>
                <w:sz w:val="20"/>
                <w:szCs w:val="20"/>
              </w:rPr>
              <w:t xml:space="preserve">Objective </w:t>
            </w:r>
            <w:r w:rsidRPr="00D7704E">
              <w:rPr>
                <w:rFonts w:eastAsia="Times New Roman" w:cs="Times New Roman"/>
                <w:b/>
                <w:bCs/>
                <w:sz w:val="20"/>
                <w:szCs w:val="20"/>
                <w:u w:val="single"/>
              </w:rPr>
              <w:t>not</w:t>
            </w:r>
            <w:r w:rsidRPr="00D7704E">
              <w:rPr>
                <w:rFonts w:eastAsia="Times New Roman" w:cs="Times New Roman"/>
                <w:b/>
                <w:bCs/>
                <w:sz w:val="20"/>
                <w:szCs w:val="20"/>
              </w:rPr>
              <w:t xml:space="preserve"> included – asked for comment </w:t>
            </w:r>
            <w:r w:rsidR="003A1207" w:rsidRPr="00D7704E">
              <w:rPr>
                <w:rFonts w:eastAsia="Times New Roman" w:cs="Times New Roman"/>
                <w:b/>
                <w:bCs/>
                <w:sz w:val="20"/>
                <w:szCs w:val="20"/>
              </w:rPr>
              <w:t>Objective/Measure</w:t>
            </w:r>
            <w:r w:rsidR="003A1207" w:rsidRPr="00D7704E">
              <w:rPr>
                <w:rFonts w:eastAsia="Times New Roman" w:cs="Times New Roman"/>
                <w:bCs/>
                <w:sz w:val="20"/>
                <w:szCs w:val="20"/>
              </w:rPr>
              <w:t>: Record electronic notes in patient records for more than 30 percent of office visits. While we believe that medical evaluation entries by providers are an important component of patient records that can provide information not otherwise captured within standardized fields, we believe there is evidence to suggest that electronic notes are already widely used by providers of Certified EHR Technology and therefore do not need to be included as a meaningful use objective.</w:t>
            </w:r>
          </w:p>
        </w:tc>
      </w:tr>
      <w:tr w:rsidR="00AF0BD8" w:rsidRPr="00D7704E" w:rsidTr="00174FA6">
        <w:trPr>
          <w:trHeight w:val="375"/>
        </w:trPr>
        <w:tc>
          <w:tcPr>
            <w:tcW w:w="1170" w:type="dxa"/>
            <w:vMerge/>
            <w:vAlign w:val="center"/>
          </w:tcPr>
          <w:p w:rsidR="00AF0BD8" w:rsidRPr="00D7704E" w:rsidRDefault="00AF0BD8" w:rsidP="00AF0BD8">
            <w:pPr>
              <w:spacing w:after="0" w:line="240" w:lineRule="auto"/>
              <w:rPr>
                <w:rFonts w:eastAsia="Times New Roman" w:cs="Times New Roman"/>
                <w:b/>
                <w:bCs/>
                <w:sz w:val="20"/>
                <w:szCs w:val="20"/>
              </w:rPr>
            </w:pPr>
          </w:p>
        </w:tc>
        <w:tc>
          <w:tcPr>
            <w:tcW w:w="13140" w:type="dxa"/>
            <w:gridSpan w:val="5"/>
            <w:tcBorders>
              <w:top w:val="single" w:sz="12" w:space="0" w:color="4F81BD" w:themeColor="accent1"/>
            </w:tcBorders>
            <w:shd w:val="clear" w:color="000000" w:fill="FFFFFF"/>
          </w:tcPr>
          <w:p w:rsidR="0097520B" w:rsidRDefault="007F2572" w:rsidP="009D0858">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r w:rsidR="00443C17">
              <w:rPr>
                <w:rFonts w:eastAsia="Times New Roman" w:cs="Times New Roman"/>
                <w:b/>
                <w:bCs/>
                <w:color w:val="365F91" w:themeColor="accent1" w:themeShade="BF"/>
                <w:sz w:val="20"/>
                <w:szCs w:val="20"/>
              </w:rPr>
              <w:t xml:space="preserve"> </w:t>
            </w:r>
          </w:p>
          <w:p w:rsidR="0097520B" w:rsidRDefault="0097520B" w:rsidP="009D0858">
            <w:pPr>
              <w:spacing w:after="0" w:line="240" w:lineRule="auto"/>
              <w:rPr>
                <w:rFonts w:eastAsia="Times New Roman" w:cs="Times New Roman"/>
                <w:b/>
                <w:bCs/>
                <w:color w:val="365F91" w:themeColor="accent1" w:themeShade="BF"/>
                <w:sz w:val="20"/>
                <w:szCs w:val="20"/>
              </w:rPr>
            </w:pPr>
            <w:r w:rsidRPr="00D7704E">
              <w:rPr>
                <w:rFonts w:eastAsia="Times New Roman"/>
                <w:bCs/>
                <w:sz w:val="20"/>
                <w:szCs w:val="20"/>
              </w:rPr>
              <w:t>Because some certified EHRs do not have clinical documentation, and we believe that having a complete record, including progress notes, is required to deliver high quality, efficient care, we recommend that provision for recording progress notes should be a meaningful use objective</w:t>
            </w:r>
            <w:r>
              <w:rPr>
                <w:rFonts w:eastAsia="Times New Roman"/>
                <w:bCs/>
                <w:sz w:val="20"/>
                <w:szCs w:val="20"/>
              </w:rPr>
              <w:t>, as originally recommended by HITPC:</w:t>
            </w:r>
          </w:p>
          <w:p w:rsidR="0097520B" w:rsidRPr="00D7704E" w:rsidRDefault="0097520B" w:rsidP="0097520B">
            <w:pPr>
              <w:rPr>
                <w:rFonts w:eastAsia="Times New Roman"/>
                <w:bCs/>
                <w:sz w:val="20"/>
                <w:szCs w:val="20"/>
              </w:rPr>
            </w:pPr>
            <w:r w:rsidRPr="00D7704E">
              <w:rPr>
                <w:rFonts w:eastAsia="Times New Roman"/>
                <w:b/>
                <w:bCs/>
                <w:sz w:val="20"/>
                <w:szCs w:val="20"/>
              </w:rPr>
              <w:t xml:space="preserve"> EP:</w:t>
            </w:r>
            <w:r w:rsidRPr="00D7704E">
              <w:rPr>
                <w:rFonts w:eastAsia="Times New Roman"/>
                <w:bCs/>
                <w:sz w:val="20"/>
                <w:szCs w:val="20"/>
              </w:rPr>
              <w:t xml:space="preserve"> Enter at least one electronic note by a physician, physician assistant, or nurse practitioner, broadly defined, for more than 30% of unique visits during the reporting period (non-searchable, scanned notes do not qualify)</w:t>
            </w:r>
            <w:r>
              <w:rPr>
                <w:rFonts w:eastAsia="Times New Roman"/>
                <w:bCs/>
                <w:sz w:val="20"/>
                <w:szCs w:val="20"/>
              </w:rPr>
              <w:t>.  Notes should be text-searchable.</w:t>
            </w:r>
          </w:p>
          <w:p w:rsidR="00B84F26" w:rsidRDefault="0097520B">
            <w:pPr>
              <w:rPr>
                <w:rFonts w:eastAsia="Times New Roman"/>
                <w:bCs/>
                <w:sz w:val="20"/>
                <w:szCs w:val="20"/>
              </w:rPr>
            </w:pPr>
            <w:r w:rsidRPr="00D7704E">
              <w:rPr>
                <w:rFonts w:eastAsia="Times New Roman"/>
                <w:b/>
                <w:bCs/>
                <w:sz w:val="20"/>
                <w:szCs w:val="20"/>
              </w:rPr>
              <w:t>EH:</w:t>
            </w:r>
            <w:r w:rsidRPr="00D7704E">
              <w:rPr>
                <w:rFonts w:eastAsia="Times New Roman"/>
                <w:bCs/>
                <w:sz w:val="20"/>
                <w:szCs w:val="20"/>
              </w:rPr>
              <w:t xml:space="preserve"> Enter at least one electronic note by a physician, physician assistant, or nurse practitioner, broadly defined, for more than 30% of eligible hospital days (non-searchable, scanned notes do not qualify)</w:t>
            </w:r>
            <w:r>
              <w:rPr>
                <w:rFonts w:eastAsia="Times New Roman"/>
                <w:bCs/>
                <w:sz w:val="20"/>
                <w:szCs w:val="20"/>
              </w:rPr>
              <w:t>. Notes should be text-searchable.</w:t>
            </w:r>
          </w:p>
          <w:p w:rsidR="00E0771A" w:rsidRDefault="00E0771A" w:rsidP="00174FA6">
            <w:pPr>
              <w:pStyle w:val="PlainText"/>
              <w:rPr>
                <w:rFonts w:eastAsia="Times New Roman"/>
                <w:bCs/>
                <w:sz w:val="20"/>
                <w:szCs w:val="20"/>
              </w:rPr>
            </w:pPr>
            <w:r w:rsidRPr="00E0771A">
              <w:rPr>
                <w:rFonts w:asciiTheme="minorHAnsi" w:eastAsia="Times New Roman" w:hAnsiTheme="minorHAnsi"/>
                <w:bCs/>
                <w:sz w:val="20"/>
                <w:szCs w:val="20"/>
              </w:rPr>
              <w:t>Support the NPRM language on text-searchable notes in certification.</w:t>
            </w:r>
          </w:p>
        </w:tc>
      </w:tr>
    </w:tbl>
    <w:p w:rsidR="00AF5053" w:rsidRPr="00D7704E" w:rsidRDefault="00AF5053">
      <w:pPr>
        <w:rPr>
          <w:sz w:val="20"/>
          <w:szCs w:val="20"/>
        </w:rPr>
      </w:pPr>
      <w:r w:rsidRPr="00D7704E">
        <w:rPr>
          <w:sz w:val="20"/>
          <w:szCs w:val="20"/>
        </w:rPr>
        <w:br w:type="page"/>
      </w:r>
    </w:p>
    <w:tbl>
      <w:tblPr>
        <w:tblW w:w="14220" w:type="dxa"/>
        <w:tblInd w:w="1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80"/>
        <w:gridCol w:w="3690"/>
        <w:gridCol w:w="360"/>
        <w:gridCol w:w="3240"/>
        <w:gridCol w:w="5850"/>
      </w:tblGrid>
      <w:tr w:rsidR="00AF0BD8" w:rsidRPr="00D7704E" w:rsidTr="00174FA6">
        <w:trPr>
          <w:trHeight w:val="630"/>
        </w:trPr>
        <w:tc>
          <w:tcPr>
            <w:tcW w:w="108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F0BD8" w:rsidRPr="00D7704E" w:rsidTr="00174FA6">
        <w:trPr>
          <w:trHeight w:val="440"/>
        </w:trPr>
        <w:tc>
          <w:tcPr>
            <w:tcW w:w="1080" w:type="dxa"/>
            <w:vMerge w:val="restart"/>
            <w:shd w:val="clear" w:color="auto" w:fill="auto"/>
          </w:tcPr>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Cs/>
                <w:sz w:val="20"/>
                <w:szCs w:val="20"/>
              </w:rPr>
            </w:pPr>
          </w:p>
        </w:tc>
        <w:tc>
          <w:tcPr>
            <w:tcW w:w="3600" w:type="dxa"/>
            <w:gridSpan w:val="2"/>
            <w:tcBorders>
              <w:bottom w:val="single" w:sz="12" w:space="0" w:color="4F81BD" w:themeColor="accent1"/>
            </w:tcBorders>
            <w:shd w:val="clear" w:color="auto" w:fill="auto"/>
            <w:noWrap/>
          </w:tcPr>
          <w:p w:rsidR="000729E9" w:rsidRPr="00D7704E" w:rsidRDefault="000729E9" w:rsidP="000729E9">
            <w:pPr>
              <w:rPr>
                <w:rFonts w:eastAsia="Times New Roman"/>
                <w:bCs/>
                <w:sz w:val="20"/>
                <w:szCs w:val="20"/>
              </w:rPr>
            </w:pPr>
            <w:r w:rsidRPr="00D7704E">
              <w:rPr>
                <w:rFonts w:eastAsia="Times New Roman"/>
                <w:bCs/>
                <w:sz w:val="20"/>
                <w:szCs w:val="20"/>
              </w:rPr>
              <w:t xml:space="preserve">Hospital labs send (directly or indirectly) structured electronic clinical lab results to outpatient providers for more than 40% of electronic lab orders received. </w:t>
            </w:r>
          </w:p>
          <w:p w:rsidR="00AF0BD8" w:rsidRPr="00D7704E" w:rsidRDefault="000729E9" w:rsidP="000729E9">
            <w:pPr>
              <w:rPr>
                <w:rFonts w:eastAsia="Times New Roman" w:cs="Times New Roman"/>
                <w:bCs/>
                <w:sz w:val="20"/>
                <w:szCs w:val="20"/>
              </w:rPr>
            </w:pPr>
            <w:r w:rsidRPr="00D7704E">
              <w:rPr>
                <w:rFonts w:eastAsia="Times New Roman"/>
                <w:bCs/>
                <w:sz w:val="20"/>
                <w:szCs w:val="20"/>
              </w:rPr>
              <w:t>* HITSC: Use LOINC where available</w:t>
            </w:r>
          </w:p>
        </w:tc>
        <w:tc>
          <w:tcPr>
            <w:tcW w:w="5850" w:type="dxa"/>
            <w:tcBorders>
              <w:bottom w:val="single" w:sz="12" w:space="0" w:color="4F81BD" w:themeColor="accent1"/>
            </w:tcBorders>
            <w:shd w:val="clear" w:color="auto" w:fill="auto"/>
            <w:noWrap/>
          </w:tcPr>
          <w:p w:rsidR="00443C17" w:rsidRDefault="00AF0BD8" w:rsidP="003A1207">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
                <w:bCs/>
                <w:sz w:val="20"/>
                <w:szCs w:val="20"/>
                <w:u w:val="single"/>
              </w:rPr>
              <w:t>not</w:t>
            </w:r>
            <w:r w:rsidRPr="00D7704E">
              <w:rPr>
                <w:rFonts w:eastAsia="Times New Roman" w:cs="Times New Roman"/>
                <w:b/>
                <w:bCs/>
                <w:sz w:val="20"/>
                <w:szCs w:val="20"/>
              </w:rPr>
              <w:t xml:space="preserve"> included – asked for comment </w:t>
            </w:r>
          </w:p>
          <w:p w:rsidR="00AF0BD8" w:rsidRPr="00D7704E" w:rsidRDefault="003A1207" w:rsidP="003A1207">
            <w:pPr>
              <w:spacing w:after="0" w:line="240" w:lineRule="auto"/>
              <w:rPr>
                <w:rFonts w:eastAsia="Times New Roman" w:cs="Times New Roman"/>
                <w:bCs/>
                <w:sz w:val="20"/>
                <w:szCs w:val="20"/>
              </w:rPr>
            </w:pPr>
            <w:r w:rsidRPr="00D7704E">
              <w:rPr>
                <w:rFonts w:eastAsia="Times New Roman" w:cs="Times New Roman"/>
                <w:b/>
                <w:bCs/>
                <w:sz w:val="20"/>
                <w:szCs w:val="20"/>
              </w:rPr>
              <w:t>Hospital Objective:</w:t>
            </w:r>
            <w:r w:rsidRPr="00D7704E">
              <w:rPr>
                <w:rFonts w:eastAsia="Times New Roman" w:cs="Times New Roman"/>
                <w:bCs/>
                <w:sz w:val="20"/>
                <w:szCs w:val="20"/>
              </w:rPr>
              <w:t xml:space="preserve"> Provide structured electronic lab results to eligible professionals. Hospital Measure: Hospital labs send (directly or indirectly) structured electronic clinical lab results to the ordering provider for more than 40 percent of electronic lab orders received.</w:t>
            </w:r>
          </w:p>
        </w:tc>
      </w:tr>
      <w:tr w:rsidR="00AF0BD8" w:rsidRPr="00D7704E" w:rsidTr="00174FA6">
        <w:trPr>
          <w:trHeight w:val="375"/>
        </w:trPr>
        <w:tc>
          <w:tcPr>
            <w:tcW w:w="1080" w:type="dxa"/>
            <w:vMerge/>
            <w:vAlign w:val="center"/>
          </w:tcPr>
          <w:p w:rsidR="00AF0BD8" w:rsidRPr="00D7704E" w:rsidRDefault="00AF0BD8" w:rsidP="00AF0BD8">
            <w:pPr>
              <w:spacing w:after="0" w:line="240" w:lineRule="auto"/>
              <w:rPr>
                <w:rFonts w:eastAsia="Times New Roman" w:cs="Times New Roman"/>
                <w:b/>
                <w:bCs/>
                <w:sz w:val="20"/>
                <w:szCs w:val="20"/>
              </w:rPr>
            </w:pPr>
          </w:p>
        </w:tc>
        <w:tc>
          <w:tcPr>
            <w:tcW w:w="13140" w:type="dxa"/>
            <w:gridSpan w:val="4"/>
            <w:tcBorders>
              <w:top w:val="single" w:sz="12" w:space="0" w:color="4F81BD" w:themeColor="accent1"/>
            </w:tcBorders>
            <w:shd w:val="clear" w:color="000000" w:fill="FFFFFF"/>
          </w:tcPr>
          <w:p w:rsidR="0097520B" w:rsidRDefault="007F2572" w:rsidP="0097520B">
            <w:pPr>
              <w:spacing w:after="0" w:line="240" w:lineRule="auto"/>
              <w:rPr>
                <w:rFonts w:cstheme="minorHAnsi"/>
                <w:sz w:val="20"/>
                <w:szCs w:val="20"/>
              </w:rPr>
            </w:pPr>
            <w:r>
              <w:rPr>
                <w:rFonts w:eastAsia="Times New Roman" w:cs="Times New Roman"/>
                <w:b/>
                <w:bCs/>
                <w:color w:val="365F91" w:themeColor="accent1" w:themeShade="BF"/>
                <w:sz w:val="20"/>
                <w:szCs w:val="20"/>
              </w:rPr>
              <w:t>Comments</w:t>
            </w:r>
            <w:r w:rsidR="00B10C30">
              <w:rPr>
                <w:rFonts w:eastAsia="Times New Roman" w:cs="Times New Roman"/>
                <w:b/>
                <w:bCs/>
                <w:color w:val="365F91" w:themeColor="accent1" w:themeShade="BF"/>
                <w:sz w:val="20"/>
                <w:szCs w:val="20"/>
              </w:rPr>
              <w:t>:</w:t>
            </w:r>
            <w:r w:rsidR="00443C17">
              <w:rPr>
                <w:rFonts w:eastAsia="Times New Roman" w:cs="Times New Roman"/>
                <w:b/>
                <w:bCs/>
                <w:color w:val="365F91" w:themeColor="accent1" w:themeShade="BF"/>
                <w:sz w:val="20"/>
                <w:szCs w:val="20"/>
              </w:rPr>
              <w:t xml:space="preserve"> </w:t>
            </w:r>
            <w:r w:rsidR="0097520B" w:rsidRPr="00B10C30">
              <w:rPr>
                <w:rFonts w:cstheme="minorHAnsi"/>
                <w:sz w:val="20"/>
                <w:szCs w:val="20"/>
              </w:rPr>
              <w:t>We reconfirm our initial recommendation</w:t>
            </w:r>
            <w:r w:rsidR="0097520B">
              <w:rPr>
                <w:rFonts w:eastAsia="Times New Roman" w:cs="Times New Roman"/>
                <w:b/>
                <w:bCs/>
                <w:color w:val="365F91" w:themeColor="accent1" w:themeShade="BF"/>
                <w:sz w:val="20"/>
                <w:szCs w:val="20"/>
              </w:rPr>
              <w:t xml:space="preserve"> </w:t>
            </w:r>
            <w:r w:rsidR="0073390F" w:rsidRPr="00D7704E">
              <w:rPr>
                <w:rFonts w:cstheme="minorHAnsi"/>
                <w:sz w:val="20"/>
                <w:szCs w:val="20"/>
              </w:rPr>
              <w:t>for hospitals to send structured lab results electronically to ambulatory providers using certified electronic health record technology</w:t>
            </w:r>
            <w:r w:rsidR="0097520B">
              <w:rPr>
                <w:rFonts w:cstheme="minorHAnsi"/>
                <w:sz w:val="20"/>
                <w:szCs w:val="20"/>
              </w:rPr>
              <w:t>:</w:t>
            </w:r>
          </w:p>
          <w:p w:rsidR="0097520B" w:rsidRPr="00D7704E" w:rsidRDefault="0097520B" w:rsidP="00174FA6">
            <w:pPr>
              <w:rPr>
                <w:rFonts w:eastAsia="Times New Roman" w:cs="Times New Roman"/>
                <w:b/>
                <w:bCs/>
                <w:sz w:val="20"/>
                <w:szCs w:val="20"/>
              </w:rPr>
            </w:pPr>
            <w:r w:rsidRPr="00D7704E">
              <w:rPr>
                <w:rFonts w:eastAsia="Times New Roman"/>
                <w:bCs/>
                <w:sz w:val="20"/>
                <w:szCs w:val="20"/>
              </w:rPr>
              <w:t xml:space="preserve">Hospital labs send (directly or indirectly) structured electronic clinical lab results to outpatient providers for more than 40% of electronic lab orders received. </w:t>
            </w:r>
            <w:r>
              <w:rPr>
                <w:rFonts w:eastAsia="Times New Roman"/>
                <w:bCs/>
                <w:sz w:val="20"/>
                <w:szCs w:val="20"/>
              </w:rPr>
              <w:t xml:space="preserve">  LOINC should be used where available.</w:t>
            </w:r>
          </w:p>
        </w:tc>
      </w:tr>
      <w:tr w:rsidR="00E65DDD" w:rsidRPr="00D7704E" w:rsidTr="00174FA6">
        <w:trPr>
          <w:trHeight w:val="690"/>
        </w:trPr>
        <w:tc>
          <w:tcPr>
            <w:tcW w:w="1080" w:type="dxa"/>
            <w:shd w:val="clear" w:color="auto" w:fill="286AA0"/>
          </w:tcPr>
          <w:p w:rsidR="00E65DDD" w:rsidRPr="00D7704E" w:rsidRDefault="003A1207" w:rsidP="00AF0BD8">
            <w:pPr>
              <w:spacing w:after="0" w:line="240" w:lineRule="auto"/>
              <w:jc w:val="center"/>
              <w:rPr>
                <w:rFonts w:ascii="Garamond" w:eastAsia="Times New Roman" w:hAnsi="Garamond" w:cs="Times New Roman"/>
                <w:b/>
                <w:bCs/>
                <w:color w:val="FFFFFF"/>
                <w:sz w:val="20"/>
                <w:szCs w:val="20"/>
              </w:rPr>
            </w:pPr>
            <w:r w:rsidRPr="00D7704E">
              <w:rPr>
                <w:sz w:val="20"/>
                <w:szCs w:val="20"/>
              </w:rPr>
              <w:br w:type="page"/>
            </w:r>
            <w:r w:rsidR="00E65DDD" w:rsidRPr="00D7704E">
              <w:rPr>
                <w:rFonts w:ascii="Garamond" w:eastAsia="Times New Roman" w:hAnsi="Garamond" w:cs="Times New Roman"/>
                <w:b/>
                <w:bCs/>
                <w:color w:val="FFFFFF"/>
                <w:sz w:val="20"/>
                <w:szCs w:val="20"/>
              </w:rPr>
              <w:t>Policy Priority</w:t>
            </w:r>
          </w:p>
        </w:tc>
        <w:tc>
          <w:tcPr>
            <w:tcW w:w="4050" w:type="dxa"/>
            <w:gridSpan w:val="2"/>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E65DDD" w:rsidRPr="00D7704E" w:rsidTr="00174FA6">
        <w:trPr>
          <w:trHeight w:val="800"/>
        </w:trPr>
        <w:tc>
          <w:tcPr>
            <w:tcW w:w="1080" w:type="dxa"/>
            <w:vMerge w:val="restart"/>
            <w:shd w:val="clear" w:color="auto" w:fill="auto"/>
          </w:tcPr>
          <w:p w:rsidR="00E65DDD" w:rsidRPr="00D7704E" w:rsidRDefault="00E65DDD" w:rsidP="00E65DDD">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E65DDD" w:rsidRPr="00D7704E" w:rsidRDefault="00E65DDD"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4050" w:type="dxa"/>
            <w:gridSpan w:val="2"/>
            <w:tcBorders>
              <w:bottom w:val="single" w:sz="12" w:space="0" w:color="4F81BD" w:themeColor="accent1"/>
            </w:tcBorders>
            <w:shd w:val="clear" w:color="auto" w:fill="auto"/>
            <w:noWrap/>
          </w:tcPr>
          <w:p w:rsidR="00E65DDD" w:rsidRPr="00D7704E" w:rsidRDefault="006A1CF3" w:rsidP="00AF0BD8">
            <w:pPr>
              <w:rPr>
                <w:rFonts w:eastAsia="Times New Roman" w:cs="Times New Roman"/>
                <w:b/>
                <w:bCs/>
                <w:sz w:val="20"/>
                <w:szCs w:val="20"/>
              </w:rPr>
            </w:pPr>
            <w:r w:rsidRPr="00D7704E">
              <w:rPr>
                <w:rFonts w:eastAsia="Times New Roman"/>
                <w:b/>
                <w:bCs/>
                <w:sz w:val="20"/>
                <w:szCs w:val="20"/>
              </w:rPr>
              <w:t>EP:</w:t>
            </w:r>
            <w:r w:rsidRPr="00D7704E">
              <w:rPr>
                <w:rFonts w:eastAsia="Times New Roman"/>
                <w:bCs/>
                <w:sz w:val="20"/>
                <w:szCs w:val="20"/>
              </w:rPr>
              <w:t xml:space="preserve"> Provide more than 50% of all patients with an electronic copy of their health information upon request</w:t>
            </w:r>
          </w:p>
        </w:tc>
        <w:tc>
          <w:tcPr>
            <w:tcW w:w="3240" w:type="dxa"/>
            <w:tcBorders>
              <w:bottom w:val="single" w:sz="12" w:space="0" w:color="4F81BD" w:themeColor="accent1"/>
            </w:tcBorders>
            <w:shd w:val="clear" w:color="auto" w:fill="auto"/>
            <w:noWrap/>
          </w:tcPr>
          <w:p w:rsidR="00E65DDD" w:rsidRPr="00D7704E" w:rsidRDefault="006A1CF3" w:rsidP="00AF0BD8">
            <w:pPr>
              <w:spacing w:after="0" w:line="240" w:lineRule="auto"/>
              <w:rPr>
                <w:rFonts w:eastAsia="Times New Roman" w:cs="Times New Roman"/>
                <w:b/>
                <w:bCs/>
                <w:sz w:val="20"/>
                <w:szCs w:val="20"/>
              </w:rPr>
            </w:pPr>
            <w:r w:rsidRPr="00D7704E">
              <w:rPr>
                <w:rFonts w:eastAsia="Times New Roman"/>
                <w:bCs/>
                <w:sz w:val="20"/>
                <w:szCs w:val="20"/>
              </w:rPr>
              <w:t>Combined with other objectives</w:t>
            </w:r>
          </w:p>
        </w:tc>
        <w:tc>
          <w:tcPr>
            <w:tcW w:w="5850" w:type="dxa"/>
            <w:tcBorders>
              <w:bottom w:val="single" w:sz="12" w:space="0" w:color="4F81BD" w:themeColor="accent1"/>
            </w:tcBorders>
            <w:shd w:val="clear" w:color="auto" w:fill="auto"/>
            <w:noWrap/>
          </w:tcPr>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Replaced</w:t>
            </w:r>
          </w:p>
          <w:p w:rsidR="00E65DDD" w:rsidRPr="00D7704E" w:rsidRDefault="00E65DDD" w:rsidP="00AF0BD8">
            <w:pPr>
              <w:spacing w:after="0" w:line="240" w:lineRule="auto"/>
              <w:rPr>
                <w:rFonts w:eastAsia="Times New Roman" w:cs="Times New Roman"/>
                <w:bCs/>
                <w:sz w:val="20"/>
                <w:szCs w:val="20"/>
              </w:rPr>
            </w:pPr>
          </w:p>
        </w:tc>
      </w:tr>
      <w:tr w:rsidR="00E65DDD" w:rsidRPr="00D7704E" w:rsidTr="00174FA6">
        <w:trPr>
          <w:trHeight w:val="618"/>
        </w:trPr>
        <w:tc>
          <w:tcPr>
            <w:tcW w:w="1080" w:type="dxa"/>
            <w:vMerge/>
            <w:vAlign w:val="center"/>
          </w:tcPr>
          <w:p w:rsidR="00E65DDD" w:rsidRPr="00D7704E" w:rsidRDefault="00E65DDD" w:rsidP="00AF0BD8">
            <w:pPr>
              <w:spacing w:after="0" w:line="240" w:lineRule="auto"/>
              <w:rPr>
                <w:rFonts w:eastAsia="Times New Roman" w:cs="Times New Roman"/>
                <w:b/>
                <w:bCs/>
                <w:sz w:val="20"/>
                <w:szCs w:val="20"/>
              </w:rPr>
            </w:pPr>
          </w:p>
        </w:tc>
        <w:tc>
          <w:tcPr>
            <w:tcW w:w="13140" w:type="dxa"/>
            <w:gridSpan w:val="4"/>
            <w:tcBorders>
              <w:bottom w:val="single" w:sz="12" w:space="0" w:color="4F81BD" w:themeColor="accent1"/>
            </w:tcBorders>
            <w:shd w:val="clear" w:color="auto" w:fill="auto"/>
          </w:tcPr>
          <w:p w:rsidR="00E65DDD" w:rsidRPr="00D7704E" w:rsidRDefault="00AF4578" w:rsidP="00E65DDD">
            <w:pPr>
              <w:rPr>
                <w:rFonts w:eastAsia="Times New Roman" w:cs="Times New Roman"/>
                <w:b/>
                <w:bCs/>
                <w:sz w:val="20"/>
                <w:szCs w:val="20"/>
              </w:rPr>
            </w:pPr>
            <w:r w:rsidRPr="00D7704E">
              <w:rPr>
                <w:rFonts w:eastAsia="Times New Roman" w:cs="Times New Roman"/>
                <w:b/>
                <w:bCs/>
                <w:color w:val="365F91" w:themeColor="accent1" w:themeShade="BF"/>
                <w:sz w:val="20"/>
                <w:szCs w:val="20"/>
              </w:rPr>
              <w:t>Workgroup Comments</w:t>
            </w:r>
            <w:r w:rsidR="00E65DDD" w:rsidRPr="00D7704E">
              <w:rPr>
                <w:rFonts w:eastAsia="Times New Roman" w:cs="Times New Roman"/>
                <w:b/>
                <w:bCs/>
                <w:sz w:val="20"/>
                <w:szCs w:val="20"/>
              </w:rPr>
              <w:br/>
              <w:t xml:space="preserve">Meaningful Use workgroup: </w:t>
            </w:r>
            <w:r w:rsidR="00E65DDD" w:rsidRPr="00D7704E">
              <w:rPr>
                <w:rFonts w:eastAsia="Times New Roman"/>
                <w:bCs/>
                <w:sz w:val="20"/>
                <w:szCs w:val="20"/>
              </w:rPr>
              <w:t xml:space="preserve">Agree. </w:t>
            </w:r>
          </w:p>
        </w:tc>
      </w:tr>
      <w:tr w:rsidR="00E65DDD" w:rsidRPr="00D7704E" w:rsidTr="00174FA6">
        <w:trPr>
          <w:trHeight w:val="330"/>
        </w:trPr>
        <w:tc>
          <w:tcPr>
            <w:tcW w:w="1080" w:type="dxa"/>
            <w:vMerge/>
            <w:vAlign w:val="center"/>
          </w:tcPr>
          <w:p w:rsidR="00E65DDD" w:rsidRPr="00D7704E" w:rsidRDefault="00E65DDD" w:rsidP="00AF0BD8">
            <w:pPr>
              <w:spacing w:after="0" w:line="240" w:lineRule="auto"/>
              <w:rPr>
                <w:rFonts w:eastAsia="Times New Roman" w:cs="Times New Roman"/>
                <w:b/>
                <w:bCs/>
                <w:sz w:val="20"/>
                <w:szCs w:val="20"/>
              </w:rPr>
            </w:pPr>
          </w:p>
        </w:tc>
        <w:tc>
          <w:tcPr>
            <w:tcW w:w="13140" w:type="dxa"/>
            <w:gridSpan w:val="4"/>
            <w:tcBorders>
              <w:top w:val="single" w:sz="12" w:space="0" w:color="4F81BD" w:themeColor="accent1"/>
            </w:tcBorders>
            <w:shd w:val="clear" w:color="000000" w:fill="FFFFFF"/>
          </w:tcPr>
          <w:p w:rsidR="00E65DDD" w:rsidRPr="00D7704E" w:rsidRDefault="007F2572" w:rsidP="00AF0BD8">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Comments</w:t>
            </w:r>
            <w:r w:rsidR="00D8471A">
              <w:rPr>
                <w:rFonts w:eastAsia="Times New Roman" w:cs="Times New Roman"/>
                <w:b/>
                <w:bCs/>
                <w:color w:val="365F91" w:themeColor="accent1" w:themeShade="BF"/>
                <w:sz w:val="20"/>
                <w:szCs w:val="20"/>
              </w:rPr>
              <w:t xml:space="preserve">: </w:t>
            </w:r>
            <w:r w:rsidR="00A13B44" w:rsidRPr="00D8471A">
              <w:rPr>
                <w:rFonts w:eastAsia="Times New Roman" w:cs="Times New Roman"/>
                <w:bCs/>
                <w:sz w:val="20"/>
                <w:szCs w:val="20"/>
              </w:rPr>
              <w:t>Agree.</w:t>
            </w:r>
          </w:p>
        </w:tc>
      </w:tr>
      <w:tr w:rsidR="00AF0BD8" w:rsidRPr="00D7704E" w:rsidTr="00174FA6">
        <w:trPr>
          <w:trHeight w:val="690"/>
        </w:trPr>
        <w:tc>
          <w:tcPr>
            <w:tcW w:w="108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405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73390F" w:rsidRPr="00D7704E" w:rsidTr="00174FA6">
        <w:trPr>
          <w:trHeight w:val="800"/>
        </w:trPr>
        <w:tc>
          <w:tcPr>
            <w:tcW w:w="1080" w:type="dxa"/>
            <w:vMerge w:val="restart"/>
            <w:shd w:val="clear" w:color="auto" w:fill="auto"/>
          </w:tcPr>
          <w:p w:rsidR="0073390F" w:rsidRPr="00D7704E" w:rsidRDefault="0073390F"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73390F" w:rsidRPr="00D7704E" w:rsidRDefault="0073390F"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4050" w:type="dxa"/>
            <w:gridSpan w:val="2"/>
            <w:tcBorders>
              <w:bottom w:val="single" w:sz="12" w:space="0" w:color="4F81BD" w:themeColor="accent1"/>
            </w:tcBorders>
            <w:shd w:val="clear" w:color="auto" w:fill="auto"/>
            <w:noWrap/>
          </w:tcPr>
          <w:p w:rsidR="0073390F" w:rsidRPr="00D7704E" w:rsidRDefault="0073390F" w:rsidP="00AF0BD8">
            <w:pPr>
              <w:rPr>
                <w:rFonts w:eastAsia="Times New Roman" w:cs="Times New Roman"/>
                <w:b/>
                <w:bCs/>
                <w:sz w:val="20"/>
                <w:szCs w:val="20"/>
              </w:rPr>
            </w:pPr>
            <w:r w:rsidRPr="00D7704E">
              <w:rPr>
                <w:rFonts w:eastAsia="Times New Roman"/>
                <w:b/>
                <w:bCs/>
                <w:sz w:val="20"/>
                <w:szCs w:val="20"/>
              </w:rPr>
              <w:t>EH:</w:t>
            </w:r>
            <w:r w:rsidRPr="00D7704E">
              <w:rPr>
                <w:rFonts w:eastAsia="Times New Roman"/>
                <w:bCs/>
                <w:sz w:val="20"/>
                <w:szCs w:val="20"/>
              </w:rPr>
              <w:t xml:space="preserve"> Provide more than 50% of all patients with an electronic copy of their discharge instructions at the time of discharge upon request</w:t>
            </w:r>
          </w:p>
        </w:tc>
        <w:tc>
          <w:tcPr>
            <w:tcW w:w="3240" w:type="dxa"/>
            <w:tcBorders>
              <w:bottom w:val="single" w:sz="12" w:space="0" w:color="4F81BD" w:themeColor="accent1"/>
            </w:tcBorders>
            <w:shd w:val="clear" w:color="auto" w:fill="auto"/>
            <w:noWrap/>
          </w:tcPr>
          <w:p w:rsidR="0073390F" w:rsidRPr="00D7704E" w:rsidRDefault="0073390F" w:rsidP="00AF0BD8">
            <w:pPr>
              <w:rPr>
                <w:rFonts w:eastAsia="Times New Roman"/>
                <w:bCs/>
                <w:sz w:val="20"/>
                <w:szCs w:val="20"/>
              </w:rPr>
            </w:pPr>
            <w:r w:rsidRPr="00D7704E">
              <w:rPr>
                <w:rFonts w:eastAsia="Times New Roman"/>
                <w:bCs/>
                <w:sz w:val="20"/>
                <w:szCs w:val="20"/>
              </w:rPr>
              <w:t xml:space="preserve">Combined with other objectives </w:t>
            </w:r>
          </w:p>
          <w:p w:rsidR="0073390F" w:rsidRPr="00D7704E" w:rsidRDefault="0073390F" w:rsidP="00AF0BD8">
            <w:pPr>
              <w:spacing w:after="0" w:line="240" w:lineRule="auto"/>
              <w:rPr>
                <w:rFonts w:eastAsia="Times New Roman" w:cs="Times New Roman"/>
                <w:b/>
                <w:bCs/>
                <w:sz w:val="20"/>
                <w:szCs w:val="20"/>
              </w:rPr>
            </w:pPr>
          </w:p>
        </w:tc>
        <w:tc>
          <w:tcPr>
            <w:tcW w:w="5850" w:type="dxa"/>
            <w:tcBorders>
              <w:bottom w:val="single" w:sz="12" w:space="0" w:color="4F81BD" w:themeColor="accent1"/>
            </w:tcBorders>
            <w:shd w:val="clear" w:color="auto" w:fill="auto"/>
            <w:noWrap/>
          </w:tcPr>
          <w:p w:rsidR="0073390F" w:rsidRPr="00D7704E" w:rsidRDefault="0073390F" w:rsidP="00AF0BD8">
            <w:pPr>
              <w:spacing w:after="0" w:line="240" w:lineRule="auto"/>
              <w:rPr>
                <w:rFonts w:eastAsia="Times New Roman" w:cs="Times New Roman"/>
                <w:bCs/>
                <w:sz w:val="20"/>
                <w:szCs w:val="20"/>
              </w:rPr>
            </w:pPr>
            <w:r w:rsidRPr="00D7704E">
              <w:rPr>
                <w:rFonts w:eastAsia="Times New Roman" w:cs="Times New Roman"/>
                <w:b/>
                <w:bCs/>
                <w:sz w:val="20"/>
                <w:szCs w:val="20"/>
              </w:rPr>
              <w:t>Replaced</w:t>
            </w:r>
          </w:p>
          <w:p w:rsidR="0073390F" w:rsidRPr="00D7704E" w:rsidRDefault="0073390F" w:rsidP="00AF0BD8">
            <w:pPr>
              <w:spacing w:after="0" w:line="240" w:lineRule="auto"/>
              <w:rPr>
                <w:rFonts w:eastAsia="Times New Roman" w:cs="Times New Roman"/>
                <w:bCs/>
                <w:sz w:val="20"/>
                <w:szCs w:val="20"/>
              </w:rPr>
            </w:pPr>
          </w:p>
          <w:p w:rsidR="0073390F" w:rsidRPr="00D7704E" w:rsidRDefault="0073390F" w:rsidP="00AF0BD8">
            <w:pPr>
              <w:spacing w:after="0" w:line="240" w:lineRule="auto"/>
              <w:rPr>
                <w:rFonts w:eastAsia="Times New Roman" w:cs="Times New Roman"/>
                <w:bCs/>
                <w:sz w:val="20"/>
                <w:szCs w:val="20"/>
              </w:rPr>
            </w:pPr>
          </w:p>
        </w:tc>
      </w:tr>
      <w:tr w:rsidR="0073390F" w:rsidRPr="00D7704E" w:rsidTr="00174FA6">
        <w:trPr>
          <w:trHeight w:val="618"/>
        </w:trPr>
        <w:tc>
          <w:tcPr>
            <w:tcW w:w="1080" w:type="dxa"/>
            <w:vMerge/>
            <w:vAlign w:val="center"/>
          </w:tcPr>
          <w:p w:rsidR="0073390F" w:rsidRPr="00D7704E" w:rsidRDefault="0073390F" w:rsidP="00AF0BD8">
            <w:pPr>
              <w:spacing w:after="0" w:line="240" w:lineRule="auto"/>
              <w:rPr>
                <w:rFonts w:eastAsia="Times New Roman" w:cs="Times New Roman"/>
                <w:b/>
                <w:bCs/>
                <w:sz w:val="20"/>
                <w:szCs w:val="20"/>
              </w:rPr>
            </w:pPr>
          </w:p>
        </w:tc>
        <w:tc>
          <w:tcPr>
            <w:tcW w:w="13140" w:type="dxa"/>
            <w:gridSpan w:val="4"/>
            <w:tcBorders>
              <w:bottom w:val="single" w:sz="12" w:space="0" w:color="4F81BD" w:themeColor="accent1"/>
            </w:tcBorders>
            <w:shd w:val="clear" w:color="auto" w:fill="auto"/>
          </w:tcPr>
          <w:p w:rsidR="0073390F" w:rsidRPr="00D7704E" w:rsidRDefault="007F2572" w:rsidP="00AF0BD8">
            <w:pPr>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r w:rsidR="0073390F">
              <w:rPr>
                <w:rFonts w:eastAsia="Times New Roman" w:cs="Times New Roman"/>
                <w:b/>
                <w:bCs/>
                <w:color w:val="365F91" w:themeColor="accent1" w:themeShade="BF"/>
                <w:sz w:val="20"/>
                <w:szCs w:val="20"/>
              </w:rPr>
              <w:t xml:space="preserve"> </w:t>
            </w:r>
            <w:r w:rsidR="0073390F" w:rsidRPr="00D8471A">
              <w:rPr>
                <w:rFonts w:eastAsia="Times New Roman" w:cs="Times New Roman"/>
                <w:bCs/>
                <w:sz w:val="20"/>
                <w:szCs w:val="20"/>
              </w:rPr>
              <w:t>Agree.</w:t>
            </w:r>
          </w:p>
        </w:tc>
      </w:tr>
      <w:tr w:rsidR="00AF0BD8" w:rsidRPr="00D7704E" w:rsidTr="00174FA6">
        <w:trPr>
          <w:trHeight w:val="690"/>
        </w:trPr>
        <w:tc>
          <w:tcPr>
            <w:tcW w:w="1080" w:type="dxa"/>
            <w:shd w:val="clear" w:color="auto" w:fill="286AA0"/>
          </w:tcPr>
          <w:p w:rsidR="00AF0BD8" w:rsidRPr="00D7704E" w:rsidRDefault="00AF5053" w:rsidP="00AF0BD8">
            <w:pPr>
              <w:spacing w:after="0" w:line="240" w:lineRule="auto"/>
              <w:jc w:val="center"/>
              <w:rPr>
                <w:rFonts w:ascii="Garamond" w:eastAsia="Times New Roman" w:hAnsi="Garamond" w:cs="Times New Roman"/>
                <w:b/>
                <w:bCs/>
                <w:color w:val="FFFFFF"/>
                <w:sz w:val="20"/>
                <w:szCs w:val="20"/>
              </w:rPr>
            </w:pPr>
            <w:r w:rsidRPr="00D7704E">
              <w:rPr>
                <w:sz w:val="20"/>
                <w:szCs w:val="20"/>
              </w:rPr>
              <w:lastRenderedPageBreak/>
              <w:br w:type="page"/>
            </w:r>
            <w:r w:rsidR="00AF0BD8" w:rsidRPr="00D7704E">
              <w:rPr>
                <w:rFonts w:ascii="Garamond" w:eastAsia="Times New Roman" w:hAnsi="Garamond" w:cs="Times New Roman"/>
                <w:b/>
                <w:bCs/>
                <w:color w:val="FFFFFF"/>
                <w:sz w:val="20"/>
                <w:szCs w:val="20"/>
              </w:rPr>
              <w:t>Policy Priority</w:t>
            </w:r>
          </w:p>
        </w:tc>
        <w:tc>
          <w:tcPr>
            <w:tcW w:w="405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73390F" w:rsidRPr="00D7704E" w:rsidTr="00174FA6">
        <w:trPr>
          <w:trHeight w:val="1142"/>
        </w:trPr>
        <w:tc>
          <w:tcPr>
            <w:tcW w:w="1080" w:type="dxa"/>
            <w:vMerge w:val="restart"/>
            <w:shd w:val="clear" w:color="auto" w:fill="auto"/>
          </w:tcPr>
          <w:p w:rsidR="0073390F" w:rsidRPr="00D7704E" w:rsidRDefault="0073390F"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73390F" w:rsidRPr="00D7704E" w:rsidRDefault="0073390F"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4050" w:type="dxa"/>
            <w:gridSpan w:val="2"/>
            <w:tcBorders>
              <w:bottom w:val="single" w:sz="12" w:space="0" w:color="4F81BD" w:themeColor="accent1"/>
            </w:tcBorders>
            <w:shd w:val="clear" w:color="auto" w:fill="auto"/>
            <w:noWrap/>
          </w:tcPr>
          <w:p w:rsidR="0073390F" w:rsidRPr="00D7704E" w:rsidRDefault="0073390F" w:rsidP="00AF0BD8">
            <w:pPr>
              <w:rPr>
                <w:rFonts w:eastAsia="Times New Roman" w:cs="Times New Roman"/>
                <w:b/>
                <w:bCs/>
                <w:sz w:val="20"/>
                <w:szCs w:val="20"/>
              </w:rPr>
            </w:pPr>
            <w:r w:rsidRPr="00D7704E">
              <w:rPr>
                <w:rFonts w:eastAsia="Times New Roman"/>
                <w:bCs/>
                <w:sz w:val="20"/>
                <w:szCs w:val="20"/>
              </w:rPr>
              <w:t>Provide more than 10% of all unique patients timely electronic access to their health information subject to the EP’s discretion to withhold certain information</w:t>
            </w:r>
          </w:p>
        </w:tc>
        <w:tc>
          <w:tcPr>
            <w:tcW w:w="3240" w:type="dxa"/>
            <w:tcBorders>
              <w:bottom w:val="single" w:sz="12" w:space="0" w:color="4F81BD" w:themeColor="accent1"/>
            </w:tcBorders>
            <w:shd w:val="clear" w:color="auto" w:fill="auto"/>
            <w:noWrap/>
          </w:tcPr>
          <w:p w:rsidR="0073390F" w:rsidRPr="00D7704E" w:rsidRDefault="0073390F" w:rsidP="00AF0BD8">
            <w:pPr>
              <w:rPr>
                <w:rFonts w:eastAsia="Times New Roman"/>
                <w:bCs/>
                <w:sz w:val="20"/>
                <w:szCs w:val="20"/>
              </w:rPr>
            </w:pPr>
            <w:r w:rsidRPr="00D7704E">
              <w:rPr>
                <w:rFonts w:eastAsia="Times New Roman"/>
                <w:b/>
                <w:bCs/>
                <w:sz w:val="20"/>
                <w:szCs w:val="20"/>
              </w:rPr>
              <w:t xml:space="preserve">EP: </w:t>
            </w:r>
            <w:r w:rsidRPr="00D7704E">
              <w:rPr>
                <w:rFonts w:eastAsia="Times New Roman"/>
                <w:bCs/>
                <w:sz w:val="20"/>
                <w:szCs w:val="20"/>
              </w:rPr>
              <w:t>More than 10% of patients and families view and have the ability to download their longitudinal health information; information is available to all patients within 24 hours of an encounter (or within 4 days after the information is available to EPs)</w:t>
            </w:r>
          </w:p>
          <w:p w:rsidR="0073390F" w:rsidRPr="00D7704E" w:rsidRDefault="0073390F" w:rsidP="00AF0BD8">
            <w:pPr>
              <w:rPr>
                <w:rFonts w:eastAsia="Times New Roman" w:cs="Times New Roman"/>
                <w:b/>
                <w:bCs/>
                <w:sz w:val="20"/>
                <w:szCs w:val="20"/>
              </w:rPr>
            </w:pPr>
            <w:r w:rsidRPr="00D7704E">
              <w:rPr>
                <w:rFonts w:eastAsia="Times New Roman"/>
                <w:b/>
                <w:bCs/>
                <w:sz w:val="20"/>
                <w:szCs w:val="20"/>
              </w:rPr>
              <w:t>EH:</w:t>
            </w:r>
            <w:r w:rsidRPr="00D7704E">
              <w:rPr>
                <w:rFonts w:eastAsia="Times New Roman"/>
                <w:bCs/>
                <w:sz w:val="20"/>
                <w:szCs w:val="20"/>
              </w:rPr>
              <w:t xml:space="preserve"> More than 10% of patients and families view and have the ability to download information about a hospital admission; information is made available within 36 hours of the encounter</w:t>
            </w:r>
          </w:p>
        </w:tc>
        <w:tc>
          <w:tcPr>
            <w:tcW w:w="5850" w:type="dxa"/>
            <w:tcBorders>
              <w:bottom w:val="single" w:sz="12" w:space="0" w:color="4F81BD" w:themeColor="accent1"/>
            </w:tcBorders>
            <w:shd w:val="clear" w:color="auto" w:fill="auto"/>
            <w:noWrap/>
          </w:tcPr>
          <w:p w:rsidR="0073390F" w:rsidRPr="00D7704E" w:rsidRDefault="0073390F" w:rsidP="00AF0BD8">
            <w:pPr>
              <w:spacing w:after="0" w:line="240" w:lineRule="auto"/>
              <w:rPr>
                <w:rFonts w:eastAsia="Times New Roman" w:cs="Times New Roman"/>
                <w:bCs/>
                <w:sz w:val="20"/>
                <w:szCs w:val="20"/>
              </w:rPr>
            </w:pPr>
            <w:r w:rsidRPr="00D7704E">
              <w:rPr>
                <w:rFonts w:eastAsia="Times New Roman" w:cs="Times New Roman"/>
                <w:b/>
                <w:bCs/>
                <w:sz w:val="20"/>
                <w:szCs w:val="20"/>
              </w:rPr>
              <w:t>Replaced</w:t>
            </w:r>
          </w:p>
          <w:p w:rsidR="0073390F" w:rsidRPr="00D7704E" w:rsidRDefault="0073390F" w:rsidP="00AF0BD8">
            <w:pPr>
              <w:spacing w:after="0" w:line="240" w:lineRule="auto"/>
              <w:rPr>
                <w:rFonts w:eastAsia="Times New Roman" w:cs="Times New Roman"/>
                <w:bCs/>
                <w:sz w:val="20"/>
                <w:szCs w:val="20"/>
              </w:rPr>
            </w:pPr>
          </w:p>
          <w:p w:rsidR="0073390F" w:rsidRPr="00D7704E" w:rsidRDefault="0073390F" w:rsidP="00AF0BD8">
            <w:pPr>
              <w:spacing w:after="0" w:line="240" w:lineRule="auto"/>
              <w:rPr>
                <w:rFonts w:eastAsia="Times New Roman" w:cs="Times New Roman"/>
                <w:bCs/>
                <w:sz w:val="20"/>
                <w:szCs w:val="20"/>
              </w:rPr>
            </w:pPr>
          </w:p>
        </w:tc>
      </w:tr>
      <w:tr w:rsidR="0073390F" w:rsidRPr="00D7704E" w:rsidTr="00174FA6">
        <w:trPr>
          <w:trHeight w:val="512"/>
        </w:trPr>
        <w:tc>
          <w:tcPr>
            <w:tcW w:w="1080" w:type="dxa"/>
            <w:vMerge/>
            <w:vAlign w:val="center"/>
          </w:tcPr>
          <w:p w:rsidR="0073390F" w:rsidRPr="00D7704E" w:rsidRDefault="0073390F" w:rsidP="00AF0BD8">
            <w:pPr>
              <w:spacing w:after="0" w:line="240" w:lineRule="auto"/>
              <w:rPr>
                <w:rFonts w:eastAsia="Times New Roman" w:cs="Times New Roman"/>
                <w:b/>
                <w:bCs/>
                <w:sz w:val="20"/>
                <w:szCs w:val="20"/>
              </w:rPr>
            </w:pPr>
          </w:p>
        </w:tc>
        <w:tc>
          <w:tcPr>
            <w:tcW w:w="13140" w:type="dxa"/>
            <w:gridSpan w:val="4"/>
            <w:tcBorders>
              <w:bottom w:val="single" w:sz="12" w:space="0" w:color="4F81BD" w:themeColor="accent1"/>
            </w:tcBorders>
            <w:shd w:val="clear" w:color="auto" w:fill="auto"/>
          </w:tcPr>
          <w:p w:rsidR="0073390F" w:rsidRPr="00D7704E" w:rsidRDefault="007F2572" w:rsidP="0073390F">
            <w:pPr>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r w:rsidR="005B550A">
              <w:rPr>
                <w:rFonts w:eastAsia="Times New Roman" w:cs="Times New Roman"/>
                <w:b/>
                <w:bCs/>
                <w:color w:val="365F91" w:themeColor="accent1" w:themeShade="BF"/>
                <w:sz w:val="20"/>
                <w:szCs w:val="20"/>
              </w:rPr>
              <w:t>:</w:t>
            </w:r>
            <w:r w:rsidR="0073390F">
              <w:rPr>
                <w:rFonts w:eastAsia="Times New Roman" w:cs="Times New Roman"/>
                <w:b/>
                <w:bCs/>
                <w:color w:val="365F91" w:themeColor="accent1" w:themeShade="BF"/>
                <w:sz w:val="20"/>
                <w:szCs w:val="20"/>
              </w:rPr>
              <w:t xml:space="preserve"> </w:t>
            </w:r>
            <w:r w:rsidR="0073390F" w:rsidRPr="005B550A">
              <w:rPr>
                <w:rFonts w:eastAsia="Times New Roman" w:cs="Times New Roman"/>
                <w:bCs/>
                <w:sz w:val="20"/>
                <w:szCs w:val="20"/>
              </w:rPr>
              <w:t>Agree.</w:t>
            </w:r>
          </w:p>
        </w:tc>
      </w:tr>
    </w:tbl>
    <w:p w:rsidR="00174FA6" w:rsidRDefault="00174FA6">
      <w:r>
        <w:br w:type="page"/>
      </w:r>
    </w:p>
    <w:tbl>
      <w:tblPr>
        <w:tblW w:w="14220" w:type="dxa"/>
        <w:tblInd w:w="1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80"/>
        <w:gridCol w:w="90"/>
        <w:gridCol w:w="1080"/>
        <w:gridCol w:w="1620"/>
        <w:gridCol w:w="180"/>
        <w:gridCol w:w="4320"/>
        <w:gridCol w:w="5850"/>
      </w:tblGrid>
      <w:tr w:rsidR="00AF0BD8" w:rsidRPr="00D7704E" w:rsidTr="00174FA6">
        <w:trPr>
          <w:trHeight w:val="510"/>
        </w:trPr>
        <w:tc>
          <w:tcPr>
            <w:tcW w:w="117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108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180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1017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F0BD8" w:rsidRPr="00D7704E" w:rsidTr="00174FA6">
        <w:trPr>
          <w:trHeight w:val="1142"/>
        </w:trPr>
        <w:tc>
          <w:tcPr>
            <w:tcW w:w="1170" w:type="dxa"/>
            <w:gridSpan w:val="2"/>
            <w:vMerge w:val="restart"/>
            <w:shd w:val="clear" w:color="auto" w:fill="auto"/>
          </w:tcPr>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108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
                <w:bCs/>
                <w:sz w:val="20"/>
                <w:szCs w:val="20"/>
              </w:rPr>
            </w:pPr>
          </w:p>
        </w:tc>
        <w:tc>
          <w:tcPr>
            <w:tcW w:w="1800" w:type="dxa"/>
            <w:gridSpan w:val="2"/>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
                <w:bCs/>
                <w:sz w:val="20"/>
                <w:szCs w:val="20"/>
              </w:rPr>
            </w:pPr>
          </w:p>
        </w:tc>
        <w:tc>
          <w:tcPr>
            <w:tcW w:w="10170" w:type="dxa"/>
            <w:gridSpan w:val="2"/>
            <w:tcBorders>
              <w:bottom w:val="single" w:sz="12" w:space="0" w:color="4F81BD" w:themeColor="accent1"/>
            </w:tcBorders>
            <w:shd w:val="clear" w:color="auto" w:fill="auto"/>
            <w:noWrap/>
          </w:tcPr>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 xml:space="preserve">EP Objective: </w:t>
            </w:r>
            <w:r w:rsidRPr="00D7704E">
              <w:rPr>
                <w:rFonts w:eastAsia="Times New Roman" w:cs="Times New Roman"/>
                <w:bCs/>
                <w:sz w:val="20"/>
                <w:szCs w:val="20"/>
              </w:rPr>
              <w:t>Provide patients the ability to view online, download, and transmit their health information within 4 business days of the information being available to the EP.</w:t>
            </w:r>
          </w:p>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Measure: </w:t>
            </w:r>
            <w:r w:rsidRPr="00D7704E">
              <w:rPr>
                <w:rFonts w:eastAsia="Times New Roman" w:cs="Times New Roman"/>
                <w:bCs/>
                <w:sz w:val="20"/>
                <w:szCs w:val="20"/>
              </w:rPr>
              <w:t>1. More than 50 percent of all unique patients seen by the EP during the EHR reporting period are provided timely (within 4 business days after the information is available to the EP) online access to their health information subject to the EP's discretion to withhold certain information</w:t>
            </w:r>
          </w:p>
          <w:p w:rsidR="00AF0BD8" w:rsidRDefault="006A1CF3" w:rsidP="006A1CF3">
            <w:pPr>
              <w:spacing w:after="0" w:line="240" w:lineRule="auto"/>
              <w:rPr>
                <w:rFonts w:eastAsia="Times New Roman" w:cs="Times New Roman"/>
                <w:bCs/>
                <w:sz w:val="20"/>
                <w:szCs w:val="20"/>
              </w:rPr>
            </w:pPr>
            <w:r w:rsidRPr="00D7704E">
              <w:rPr>
                <w:rFonts w:eastAsia="Times New Roman" w:cs="Times New Roman"/>
                <w:bCs/>
                <w:sz w:val="20"/>
                <w:szCs w:val="20"/>
              </w:rPr>
              <w:t>2. More than 10 % of all unique patients seen by the EP during the EHR reporting period (or their authorized representatives) view, download , or transmit to a third party their health information</w:t>
            </w:r>
          </w:p>
          <w:p w:rsidR="000E58C0" w:rsidRPr="00D7704E" w:rsidRDefault="000E58C0" w:rsidP="000E58C0">
            <w:pPr>
              <w:spacing w:after="0" w:line="240" w:lineRule="auto"/>
              <w:rPr>
                <w:rFonts w:eastAsia="Times New Roman" w:cs="Times New Roman"/>
                <w:b/>
                <w:bCs/>
                <w:sz w:val="20"/>
                <w:szCs w:val="20"/>
              </w:rPr>
            </w:pPr>
            <w:r w:rsidRPr="00D7704E">
              <w:rPr>
                <w:rFonts w:eastAsia="Times New Roman" w:cs="Times New Roman"/>
                <w:b/>
                <w:bCs/>
                <w:sz w:val="20"/>
                <w:szCs w:val="20"/>
              </w:rPr>
              <w:t xml:space="preserve">EH Objective: </w:t>
            </w:r>
            <w:r w:rsidRPr="00D7704E">
              <w:rPr>
                <w:rFonts w:eastAsia="Times New Roman" w:cs="Times New Roman"/>
                <w:bCs/>
                <w:sz w:val="20"/>
                <w:szCs w:val="20"/>
              </w:rPr>
              <w:t>Provide patients the ability to view online and download information about a hospital admission</w:t>
            </w:r>
          </w:p>
          <w:p w:rsidR="000E58C0" w:rsidRPr="00D7704E" w:rsidRDefault="000E58C0" w:rsidP="000E58C0">
            <w:pPr>
              <w:spacing w:after="0" w:line="240" w:lineRule="auto"/>
              <w:rPr>
                <w:rFonts w:eastAsia="Times New Roman" w:cs="Times New Roman"/>
                <w:bCs/>
                <w:sz w:val="20"/>
                <w:szCs w:val="20"/>
              </w:rPr>
            </w:pPr>
            <w:r w:rsidRPr="00D7704E">
              <w:rPr>
                <w:rFonts w:eastAsia="Times New Roman" w:cs="Times New Roman"/>
                <w:b/>
                <w:bCs/>
                <w:sz w:val="20"/>
                <w:szCs w:val="20"/>
              </w:rPr>
              <w:t xml:space="preserve">EH Measure: </w:t>
            </w:r>
            <w:r w:rsidRPr="00D7704E">
              <w:rPr>
                <w:rFonts w:eastAsia="Times New Roman" w:cs="Times New Roman"/>
                <w:bCs/>
                <w:sz w:val="20"/>
                <w:szCs w:val="20"/>
              </w:rPr>
              <w:t>1. More than 50 percent of all patients who are discharged from the inpatient or emergency department (POS 21 or 23) of an eligible hospital or CAH have their information available online within 36 hours of discharge 2. More than 10 percent of all patients who are discharged from the inpatient or emergency department (POS 21 or 23) of an eligible hospital or CAH view, download or transmit to a third party their</w:t>
            </w:r>
            <w:r w:rsidRPr="00D7704E">
              <w:rPr>
                <w:rFonts w:eastAsia="Times New Roman" w:cs="Times New Roman"/>
                <w:b/>
                <w:bCs/>
                <w:sz w:val="20"/>
                <w:szCs w:val="20"/>
              </w:rPr>
              <w:t xml:space="preserve"> information during the reporting period</w:t>
            </w:r>
          </w:p>
        </w:tc>
      </w:tr>
      <w:tr w:rsidR="00AF0BD8" w:rsidRPr="00D7704E" w:rsidTr="00174FA6">
        <w:trPr>
          <w:trHeight w:val="330"/>
        </w:trPr>
        <w:tc>
          <w:tcPr>
            <w:tcW w:w="1170" w:type="dxa"/>
            <w:gridSpan w:val="2"/>
            <w:vMerge/>
            <w:vAlign w:val="center"/>
          </w:tcPr>
          <w:p w:rsidR="00AF0BD8" w:rsidRPr="00D7704E" w:rsidRDefault="00AF0BD8" w:rsidP="00AF0BD8">
            <w:pPr>
              <w:spacing w:after="0" w:line="240" w:lineRule="auto"/>
              <w:rPr>
                <w:rFonts w:eastAsia="Times New Roman" w:cs="Times New Roman"/>
                <w:b/>
                <w:bCs/>
                <w:sz w:val="20"/>
                <w:szCs w:val="20"/>
              </w:rPr>
            </w:pPr>
          </w:p>
        </w:tc>
        <w:tc>
          <w:tcPr>
            <w:tcW w:w="13050" w:type="dxa"/>
            <w:gridSpan w:val="5"/>
            <w:tcBorders>
              <w:top w:val="single" w:sz="12" w:space="0" w:color="4F81BD" w:themeColor="accent1"/>
            </w:tcBorders>
            <w:shd w:val="clear" w:color="000000" w:fill="FFFFFF"/>
          </w:tcPr>
          <w:p w:rsidR="00AF0BD8" w:rsidRDefault="007F2572" w:rsidP="00AF0BD8">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r w:rsidR="00686FE2">
              <w:rPr>
                <w:rFonts w:eastAsia="Times New Roman" w:cs="Times New Roman"/>
                <w:b/>
                <w:bCs/>
                <w:color w:val="365F91" w:themeColor="accent1" w:themeShade="BF"/>
                <w:sz w:val="20"/>
                <w:szCs w:val="20"/>
              </w:rPr>
              <w:t xml:space="preserve"> </w:t>
            </w:r>
          </w:p>
          <w:p w:rsidR="00EF422C" w:rsidRDefault="0073390F">
            <w:pPr>
              <w:pStyle w:val="NoSpacing"/>
              <w:numPr>
                <w:ilvl w:val="0"/>
                <w:numId w:val="10"/>
              </w:numPr>
              <w:rPr>
                <w:sz w:val="20"/>
                <w:szCs w:val="20"/>
              </w:rPr>
            </w:pPr>
            <w:r w:rsidRPr="000E58C0">
              <w:rPr>
                <w:sz w:val="20"/>
                <w:szCs w:val="20"/>
              </w:rPr>
              <w:t>We appreciate and agree with the intent to keep the timeliness criterion simple (</w:t>
            </w:r>
            <w:proofErr w:type="spellStart"/>
            <w:r w:rsidR="0097520B">
              <w:rPr>
                <w:sz w:val="20"/>
                <w:szCs w:val="20"/>
              </w:rPr>
              <w:t>ie</w:t>
            </w:r>
            <w:proofErr w:type="spellEnd"/>
            <w:r w:rsidR="0097520B">
              <w:rPr>
                <w:sz w:val="20"/>
                <w:szCs w:val="20"/>
              </w:rPr>
              <w:t xml:space="preserve">, have only </w:t>
            </w:r>
            <w:r w:rsidRPr="000E58C0">
              <w:rPr>
                <w:sz w:val="20"/>
                <w:szCs w:val="20"/>
              </w:rPr>
              <w:t>1 timeline).  However, we believe there is value in providing the patient with prompt access to the summary of an encounter (which we define as an office visit or other contact in which an order is generated). We propose that a single timeliness criterion be applied, and that it be shortened to "within two business days of information becoming available to the EP.”</w:t>
            </w:r>
          </w:p>
          <w:p w:rsidR="00EF422C" w:rsidRDefault="00A13B44">
            <w:pPr>
              <w:pStyle w:val="NoSpacing"/>
              <w:numPr>
                <w:ilvl w:val="0"/>
                <w:numId w:val="10"/>
              </w:numPr>
              <w:rPr>
                <w:sz w:val="20"/>
                <w:szCs w:val="20"/>
              </w:rPr>
            </w:pPr>
            <w:r w:rsidRPr="00A13B44">
              <w:rPr>
                <w:rFonts w:eastAsia="Times New Roman" w:cs="Times New Roman"/>
                <w:bCs/>
                <w:sz w:val="20"/>
                <w:szCs w:val="20"/>
              </w:rPr>
              <w:t>Denominator: All active patients seen within the last 2 years, less those in the adolescent category (will vary for provider due to individual state laws)</w:t>
            </w:r>
          </w:p>
          <w:p w:rsidR="00EF422C" w:rsidRDefault="00A13B44" w:rsidP="00F1635D">
            <w:pPr>
              <w:pStyle w:val="NoSpacing"/>
              <w:numPr>
                <w:ilvl w:val="0"/>
                <w:numId w:val="10"/>
              </w:numPr>
              <w:tabs>
                <w:tab w:val="left" w:pos="12597"/>
              </w:tabs>
              <w:rPr>
                <w:rFonts w:eastAsia="Times New Roman" w:cs="Times New Roman"/>
                <w:b/>
                <w:bCs/>
                <w:sz w:val="20"/>
                <w:szCs w:val="20"/>
              </w:rPr>
            </w:pPr>
            <w:r w:rsidRPr="00A13B44">
              <w:rPr>
                <w:rFonts w:eastAsia="Times New Roman" w:cs="Times New Roman"/>
                <w:bCs/>
                <w:sz w:val="20"/>
                <w:szCs w:val="20"/>
              </w:rPr>
              <w:t xml:space="preserve">Numerator: Log-on to account at any point in time; can be done by proxy (e.g. parent, child) </w:t>
            </w:r>
            <w:r w:rsidR="00F1635D">
              <w:rPr>
                <w:rFonts w:eastAsia="Times New Roman" w:cs="Times New Roman"/>
                <w:bCs/>
                <w:sz w:val="20"/>
                <w:szCs w:val="20"/>
              </w:rPr>
              <w:t>threshold</w:t>
            </w:r>
            <w:r w:rsidR="00F1635D" w:rsidRPr="00A13B44">
              <w:rPr>
                <w:rFonts w:eastAsia="Times New Roman" w:cs="Times New Roman"/>
                <w:bCs/>
                <w:sz w:val="20"/>
                <w:szCs w:val="20"/>
              </w:rPr>
              <w:t xml:space="preserve"> </w:t>
            </w:r>
            <w:r w:rsidRPr="00A13B44">
              <w:rPr>
                <w:rFonts w:eastAsia="Times New Roman" w:cs="Times New Roman"/>
                <w:bCs/>
                <w:sz w:val="20"/>
                <w:szCs w:val="20"/>
              </w:rPr>
              <w:t>would have to be 10% or greater.  Exclusion allowed for low broadband access (according to FCC) and special hardship cases (e.g. Amish). Information of that record is viewed, downloaded, transmitted in a way that is successful to the patient (transmit can include transmission from one provider to patient’s personal record or another provider if the patient chooses).</w:t>
            </w:r>
          </w:p>
        </w:tc>
      </w:tr>
      <w:tr w:rsidR="00472212" w:rsidRPr="00D7704E" w:rsidTr="00174FA6">
        <w:trPr>
          <w:trHeight w:val="690"/>
        </w:trPr>
        <w:tc>
          <w:tcPr>
            <w:tcW w:w="108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2790" w:type="dxa"/>
            <w:gridSpan w:val="3"/>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450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472212" w:rsidRPr="00D7704E" w:rsidTr="00174FA6">
        <w:trPr>
          <w:trHeight w:val="1142"/>
        </w:trPr>
        <w:tc>
          <w:tcPr>
            <w:tcW w:w="1080" w:type="dxa"/>
            <w:vMerge w:val="restart"/>
            <w:shd w:val="clear" w:color="auto" w:fill="auto"/>
          </w:tcPr>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2790" w:type="dxa"/>
            <w:gridSpan w:val="3"/>
            <w:tcBorders>
              <w:bottom w:val="single" w:sz="12" w:space="0" w:color="4F81BD" w:themeColor="accent1"/>
            </w:tcBorders>
            <w:shd w:val="clear" w:color="auto" w:fill="auto"/>
            <w:noWrap/>
          </w:tcPr>
          <w:p w:rsidR="00472212" w:rsidRPr="00D7704E" w:rsidRDefault="006A1CF3" w:rsidP="00472212">
            <w:pPr>
              <w:rPr>
                <w:rFonts w:eastAsia="Times New Roman" w:cs="Times New Roman"/>
                <w:b/>
                <w:bCs/>
                <w:sz w:val="20"/>
                <w:szCs w:val="20"/>
              </w:rPr>
            </w:pPr>
            <w:r w:rsidRPr="00D7704E">
              <w:rPr>
                <w:rFonts w:eastAsia="Times New Roman"/>
                <w:b/>
                <w:bCs/>
                <w:sz w:val="20"/>
                <w:szCs w:val="20"/>
              </w:rPr>
              <w:t>EP:</w:t>
            </w:r>
            <w:r w:rsidRPr="00D7704E">
              <w:rPr>
                <w:rFonts w:eastAsia="Times New Roman"/>
                <w:bCs/>
                <w:sz w:val="20"/>
                <w:szCs w:val="20"/>
              </w:rPr>
              <w:t xml:space="preserve"> Provide clinical summaries for more than 50% of all office visits within 3 business days</w:t>
            </w:r>
          </w:p>
        </w:tc>
        <w:tc>
          <w:tcPr>
            <w:tcW w:w="4500" w:type="dxa"/>
            <w:gridSpan w:val="2"/>
            <w:tcBorders>
              <w:bottom w:val="single" w:sz="12" w:space="0" w:color="4F81BD" w:themeColor="accent1"/>
            </w:tcBorders>
            <w:shd w:val="clear" w:color="auto" w:fill="auto"/>
            <w:noWrap/>
          </w:tcPr>
          <w:p w:rsidR="00472212" w:rsidRPr="00D7704E" w:rsidRDefault="006A1CF3" w:rsidP="00472212">
            <w:pPr>
              <w:rPr>
                <w:rFonts w:eastAsia="Times New Roman" w:cs="Times New Roman"/>
                <w:bCs/>
                <w:sz w:val="20"/>
                <w:szCs w:val="20"/>
              </w:rPr>
            </w:pPr>
            <w:r w:rsidRPr="00D7704E">
              <w:rPr>
                <w:rFonts w:eastAsia="Times New Roman"/>
                <w:bCs/>
                <w:sz w:val="20"/>
                <w:szCs w:val="20"/>
              </w:rPr>
              <w:t>Provide clinical summaries to patients for more than 50% of all office visits within 24 hours; pending information, such as lab results, should be available to patients within 4 days of becoming available to EPs; (electronically accessible for viewing counts)</w:t>
            </w:r>
          </w:p>
        </w:tc>
        <w:tc>
          <w:tcPr>
            <w:tcW w:w="5850" w:type="dxa"/>
            <w:tcBorders>
              <w:bottom w:val="single" w:sz="12" w:space="0" w:color="4F81BD" w:themeColor="accent1"/>
            </w:tcBorders>
            <w:shd w:val="clear" w:color="auto" w:fill="auto"/>
            <w:noWrap/>
          </w:tcPr>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EP</w:t>
            </w:r>
            <w:r w:rsidR="00472212" w:rsidRPr="00D7704E">
              <w:rPr>
                <w:rFonts w:eastAsia="Times New Roman" w:cs="Times New Roman"/>
                <w:b/>
                <w:bCs/>
                <w:sz w:val="20"/>
                <w:szCs w:val="20"/>
              </w:rPr>
              <w:t xml:space="preserve"> </w:t>
            </w:r>
            <w:r w:rsidRPr="00D7704E">
              <w:rPr>
                <w:rFonts w:eastAsia="Times New Roman" w:cs="Times New Roman"/>
                <w:b/>
                <w:bCs/>
                <w:sz w:val="20"/>
                <w:szCs w:val="20"/>
              </w:rPr>
              <w:t>Objective:</w:t>
            </w:r>
            <w:r w:rsidRPr="00D7704E">
              <w:rPr>
                <w:rFonts w:eastAsia="Times New Roman" w:cs="Times New Roman"/>
                <w:bCs/>
                <w:sz w:val="20"/>
                <w:szCs w:val="20"/>
              </w:rPr>
              <w:t xml:space="preserve"> Provide clinical summaries for patients for each office visit</w:t>
            </w:r>
          </w:p>
          <w:p w:rsidR="00472212"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Clinical summaries provided to patients within 24 hours for more than 50 % of office visits.</w:t>
            </w:r>
          </w:p>
          <w:p w:rsidR="00472212" w:rsidRPr="00D7704E" w:rsidRDefault="00472212" w:rsidP="00B15945">
            <w:pPr>
              <w:spacing w:after="0" w:line="240" w:lineRule="auto"/>
              <w:rPr>
                <w:rFonts w:eastAsia="Times New Roman" w:cs="Times New Roman"/>
                <w:bCs/>
                <w:sz w:val="20"/>
                <w:szCs w:val="20"/>
              </w:rPr>
            </w:pPr>
          </w:p>
        </w:tc>
      </w:tr>
      <w:tr w:rsidR="00472212" w:rsidRPr="00D7704E" w:rsidTr="00174FA6">
        <w:trPr>
          <w:trHeight w:val="330"/>
        </w:trPr>
        <w:tc>
          <w:tcPr>
            <w:tcW w:w="1080" w:type="dxa"/>
            <w:vMerge/>
            <w:vAlign w:val="center"/>
          </w:tcPr>
          <w:p w:rsidR="00472212" w:rsidRPr="00D7704E" w:rsidRDefault="00472212" w:rsidP="00B15945">
            <w:pPr>
              <w:spacing w:after="0" w:line="240" w:lineRule="auto"/>
              <w:rPr>
                <w:rFonts w:eastAsia="Times New Roman" w:cs="Times New Roman"/>
                <w:b/>
                <w:bCs/>
                <w:sz w:val="20"/>
                <w:szCs w:val="20"/>
              </w:rPr>
            </w:pPr>
          </w:p>
        </w:tc>
        <w:tc>
          <w:tcPr>
            <w:tcW w:w="13140" w:type="dxa"/>
            <w:gridSpan w:val="6"/>
            <w:tcBorders>
              <w:top w:val="single" w:sz="12" w:space="0" w:color="4F81BD" w:themeColor="accent1"/>
            </w:tcBorders>
            <w:shd w:val="clear" w:color="000000" w:fill="FFFFFF"/>
          </w:tcPr>
          <w:p w:rsidR="00472212" w:rsidRPr="00D7704E" w:rsidRDefault="007F2572" w:rsidP="00B15945">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Comments</w:t>
            </w:r>
            <w:r w:rsidR="002C6B7D">
              <w:rPr>
                <w:rFonts w:eastAsia="Times New Roman" w:cs="Times New Roman"/>
                <w:b/>
                <w:bCs/>
                <w:color w:val="365F91" w:themeColor="accent1" w:themeShade="BF"/>
                <w:sz w:val="20"/>
                <w:szCs w:val="20"/>
              </w:rPr>
              <w:t xml:space="preserve"> </w:t>
            </w:r>
            <w:r w:rsidR="0073390F" w:rsidRPr="00D7704E">
              <w:rPr>
                <w:rFonts w:eastAsia="Times New Roman"/>
                <w:bCs/>
                <w:sz w:val="20"/>
                <w:szCs w:val="20"/>
              </w:rPr>
              <w:t>The NPRM says that HITPC recommended that for clinical summaries information be made available within 24 hrs or within 4 business days of info becoming available.  The HITPC actually recommended that for clinical summaries information be made available within 24 hrs or within 4 (calendar) days of becoming available. That is consistent with our new recommendation to use 2 business days overall to achieve a single timeline for all data.</w:t>
            </w:r>
          </w:p>
        </w:tc>
      </w:tr>
    </w:tbl>
    <w:p w:rsidR="005B550A" w:rsidRDefault="005B550A">
      <w:r>
        <w:br w:type="page"/>
      </w:r>
    </w:p>
    <w:tbl>
      <w:tblPr>
        <w:tblW w:w="1423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2160"/>
        <w:gridCol w:w="1890"/>
        <w:gridCol w:w="1800"/>
        <w:gridCol w:w="1440"/>
        <w:gridCol w:w="5940"/>
      </w:tblGrid>
      <w:tr w:rsidR="00472212" w:rsidRPr="00D7704E" w:rsidTr="005B550A">
        <w:trPr>
          <w:trHeight w:val="690"/>
        </w:trPr>
        <w:tc>
          <w:tcPr>
            <w:tcW w:w="1005"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405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94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472212" w:rsidRPr="00D7704E" w:rsidTr="005B550A">
        <w:trPr>
          <w:trHeight w:val="935"/>
        </w:trPr>
        <w:tc>
          <w:tcPr>
            <w:tcW w:w="1005" w:type="dxa"/>
            <w:vMerge w:val="restart"/>
            <w:shd w:val="clear" w:color="auto" w:fill="auto"/>
          </w:tcPr>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4050" w:type="dxa"/>
            <w:gridSpan w:val="2"/>
            <w:tcBorders>
              <w:bottom w:val="single" w:sz="12" w:space="0" w:color="4F81BD" w:themeColor="accent1"/>
            </w:tcBorders>
            <w:shd w:val="clear" w:color="auto" w:fill="auto"/>
            <w:noWrap/>
          </w:tcPr>
          <w:p w:rsidR="00472212" w:rsidRPr="00D7704E" w:rsidRDefault="00472212" w:rsidP="006A1CF3">
            <w:pPr>
              <w:rPr>
                <w:rFonts w:eastAsia="Times New Roman" w:cs="Times New Roman"/>
                <w:b/>
                <w:bCs/>
                <w:sz w:val="20"/>
                <w:szCs w:val="20"/>
              </w:rPr>
            </w:pPr>
            <w:r w:rsidRPr="00D7704E">
              <w:rPr>
                <w:rFonts w:eastAsia="Times New Roman"/>
                <w:b/>
                <w:bCs/>
                <w:sz w:val="20"/>
                <w:szCs w:val="20"/>
              </w:rPr>
              <w:t xml:space="preserve">MENU: </w:t>
            </w:r>
            <w:r w:rsidR="006A1CF3" w:rsidRPr="00D7704E">
              <w:rPr>
                <w:rFonts w:eastAsia="Times New Roman"/>
                <w:bCs/>
                <w:sz w:val="20"/>
                <w:szCs w:val="20"/>
              </w:rPr>
              <w:t>Use certified EHR technology to identify patient-specific educational resources for more than 10% of all unique patients and provide those resources to the patient if appropriate</w:t>
            </w:r>
          </w:p>
        </w:tc>
        <w:tc>
          <w:tcPr>
            <w:tcW w:w="3240" w:type="dxa"/>
            <w:gridSpan w:val="2"/>
            <w:tcBorders>
              <w:bottom w:val="single" w:sz="12" w:space="0" w:color="4F81BD" w:themeColor="accent1"/>
            </w:tcBorders>
            <w:shd w:val="clear" w:color="auto" w:fill="auto"/>
            <w:noWrap/>
          </w:tcPr>
          <w:p w:rsidR="00472212" w:rsidRPr="00D7704E" w:rsidRDefault="006A1CF3" w:rsidP="00472212">
            <w:pPr>
              <w:rPr>
                <w:rFonts w:eastAsia="Times New Roman" w:cs="Times New Roman"/>
                <w:bCs/>
                <w:sz w:val="20"/>
                <w:szCs w:val="20"/>
              </w:rPr>
            </w:pPr>
            <w:r w:rsidRPr="00D7704E">
              <w:rPr>
                <w:rFonts w:eastAsia="Times New Roman"/>
                <w:bCs/>
                <w:sz w:val="20"/>
                <w:szCs w:val="20"/>
              </w:rPr>
              <w:t>Use certified EHR technology to identify patient-specific educational resources and provide those to the more than 10% of all unique patients</w:t>
            </w:r>
          </w:p>
        </w:tc>
        <w:tc>
          <w:tcPr>
            <w:tcW w:w="5940" w:type="dxa"/>
            <w:tcBorders>
              <w:bottom w:val="single" w:sz="12" w:space="0" w:color="4F81BD" w:themeColor="accent1"/>
            </w:tcBorders>
            <w:shd w:val="clear" w:color="auto" w:fill="auto"/>
            <w:noWrap/>
          </w:tcPr>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EP/EH Objective:</w:t>
            </w:r>
            <w:r w:rsidRPr="00D7704E">
              <w:rPr>
                <w:rFonts w:eastAsia="Times New Roman" w:cs="Times New Roman"/>
                <w:bCs/>
                <w:sz w:val="20"/>
                <w:szCs w:val="20"/>
              </w:rPr>
              <w:t xml:space="preserve"> Use Certified EHR Technology to identify patient-specific education resources and provide those resources to the patient</w:t>
            </w:r>
          </w:p>
          <w:p w:rsidR="00472212"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EP Measure:</w:t>
            </w:r>
            <w:r w:rsidRPr="00D7704E">
              <w:rPr>
                <w:rFonts w:eastAsia="Times New Roman" w:cs="Times New Roman"/>
                <w:bCs/>
                <w:sz w:val="20"/>
                <w:szCs w:val="20"/>
              </w:rPr>
              <w:t xml:space="preserve"> Patient-specific education resources identified by Certified EHR Technology are provided to patients for more than 10 percent of all office visits by the EP.</w:t>
            </w:r>
          </w:p>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 xml:space="preserve">EH Measure: </w:t>
            </w:r>
            <w:r w:rsidRPr="00D7704E">
              <w:rPr>
                <w:rFonts w:eastAsia="Times New Roman" w:cs="Times New Roman"/>
                <w:bCs/>
                <w:sz w:val="20"/>
                <w:szCs w:val="20"/>
              </w:rPr>
              <w:t>More than 10% of all unique patients admitted to the eligible hospital's or CAH's inpatient or emergency departments (POS 21 or 23) are provided patient- specific education resources identified by Certified EHR Technology</w:t>
            </w:r>
          </w:p>
        </w:tc>
      </w:tr>
      <w:tr w:rsidR="00472212" w:rsidRPr="00D7704E" w:rsidTr="005B550A">
        <w:trPr>
          <w:trHeight w:val="330"/>
        </w:trPr>
        <w:tc>
          <w:tcPr>
            <w:tcW w:w="1005" w:type="dxa"/>
            <w:vMerge/>
            <w:vAlign w:val="center"/>
          </w:tcPr>
          <w:p w:rsidR="00472212" w:rsidRPr="00D7704E" w:rsidRDefault="00472212" w:rsidP="00B15945">
            <w:pPr>
              <w:spacing w:after="0" w:line="240" w:lineRule="auto"/>
              <w:rPr>
                <w:rFonts w:eastAsia="Times New Roman" w:cs="Times New Roman"/>
                <w:b/>
                <w:bCs/>
                <w:sz w:val="20"/>
                <w:szCs w:val="20"/>
              </w:rPr>
            </w:pPr>
          </w:p>
        </w:tc>
        <w:tc>
          <w:tcPr>
            <w:tcW w:w="13230" w:type="dxa"/>
            <w:gridSpan w:val="5"/>
            <w:tcBorders>
              <w:top w:val="single" w:sz="12" w:space="0" w:color="4F81BD" w:themeColor="accent1"/>
            </w:tcBorders>
            <w:shd w:val="clear" w:color="000000" w:fill="FFFFFF"/>
          </w:tcPr>
          <w:p w:rsidR="00472212" w:rsidRPr="00D7704E" w:rsidRDefault="007F2572" w:rsidP="00B15945">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Comments</w:t>
            </w:r>
            <w:r w:rsidR="005B550A">
              <w:rPr>
                <w:rFonts w:eastAsia="Times New Roman" w:cs="Times New Roman"/>
                <w:b/>
                <w:bCs/>
                <w:color w:val="365F91" w:themeColor="accent1" w:themeShade="BF"/>
                <w:sz w:val="20"/>
                <w:szCs w:val="20"/>
              </w:rPr>
              <w:t>:</w:t>
            </w:r>
            <w:r w:rsidR="002C6B7D">
              <w:rPr>
                <w:rFonts w:eastAsia="Times New Roman" w:cs="Times New Roman"/>
                <w:b/>
                <w:bCs/>
                <w:color w:val="365F91" w:themeColor="accent1" w:themeShade="BF"/>
                <w:sz w:val="20"/>
                <w:szCs w:val="20"/>
              </w:rPr>
              <w:t xml:space="preserve"> </w:t>
            </w:r>
            <w:r w:rsidR="002C6B7D" w:rsidRPr="005B550A">
              <w:rPr>
                <w:rFonts w:eastAsia="Times New Roman" w:cs="Times New Roman"/>
                <w:bCs/>
                <w:sz w:val="20"/>
                <w:szCs w:val="20"/>
              </w:rPr>
              <w:t>Agree</w:t>
            </w:r>
            <w:r w:rsidR="0073390F" w:rsidRPr="005B550A">
              <w:rPr>
                <w:rFonts w:eastAsia="Times New Roman" w:cs="Times New Roman"/>
                <w:bCs/>
                <w:sz w:val="20"/>
                <w:szCs w:val="20"/>
              </w:rPr>
              <w:t>.</w:t>
            </w:r>
          </w:p>
        </w:tc>
      </w:tr>
      <w:tr w:rsidR="00472212" w:rsidRPr="00D7704E">
        <w:trPr>
          <w:trHeight w:val="690"/>
        </w:trPr>
        <w:tc>
          <w:tcPr>
            <w:tcW w:w="1005"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405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94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472212" w:rsidRPr="00D7704E">
        <w:trPr>
          <w:trHeight w:val="935"/>
        </w:trPr>
        <w:tc>
          <w:tcPr>
            <w:tcW w:w="1005" w:type="dxa"/>
            <w:vMerge w:val="restart"/>
            <w:shd w:val="clear" w:color="auto" w:fill="auto"/>
          </w:tcPr>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4050" w:type="dxa"/>
            <w:gridSpan w:val="2"/>
            <w:tcBorders>
              <w:bottom w:val="single" w:sz="12" w:space="0" w:color="4F81BD" w:themeColor="accent1"/>
            </w:tcBorders>
            <w:shd w:val="clear" w:color="auto" w:fill="auto"/>
            <w:noWrap/>
          </w:tcPr>
          <w:p w:rsidR="00472212" w:rsidRPr="00D7704E" w:rsidRDefault="00472212" w:rsidP="00472212">
            <w:pPr>
              <w:rPr>
                <w:rFonts w:eastAsia="Times New Roman"/>
                <w:b/>
                <w:bCs/>
                <w:sz w:val="20"/>
                <w:szCs w:val="20"/>
              </w:rPr>
            </w:pPr>
            <w:r w:rsidRPr="00D7704E">
              <w:rPr>
                <w:rFonts w:eastAsia="Times New Roman"/>
                <w:b/>
                <w:bCs/>
                <w:sz w:val="20"/>
                <w:szCs w:val="20"/>
              </w:rPr>
              <w:t>N/A</w:t>
            </w:r>
          </w:p>
          <w:p w:rsidR="00472212" w:rsidRPr="00D7704E" w:rsidRDefault="00472212" w:rsidP="00B15945">
            <w:pPr>
              <w:rPr>
                <w:rFonts w:eastAsia="Times New Roman" w:cs="Times New Roman"/>
                <w:b/>
                <w:bCs/>
                <w:sz w:val="20"/>
                <w:szCs w:val="20"/>
              </w:rPr>
            </w:pPr>
          </w:p>
        </w:tc>
        <w:tc>
          <w:tcPr>
            <w:tcW w:w="3240" w:type="dxa"/>
            <w:gridSpan w:val="2"/>
            <w:tcBorders>
              <w:bottom w:val="single" w:sz="12" w:space="0" w:color="4F81BD" w:themeColor="accent1"/>
            </w:tcBorders>
            <w:shd w:val="clear" w:color="auto" w:fill="auto"/>
            <w:noWrap/>
          </w:tcPr>
          <w:p w:rsidR="00472212" w:rsidRPr="00D7704E" w:rsidRDefault="00472212" w:rsidP="00472212">
            <w:pPr>
              <w:rPr>
                <w:rFonts w:eastAsia="Times New Roman"/>
                <w:bCs/>
                <w:sz w:val="20"/>
                <w:szCs w:val="20"/>
              </w:rPr>
            </w:pPr>
            <w:r w:rsidRPr="00D7704E">
              <w:rPr>
                <w:rFonts w:eastAsia="Times New Roman"/>
                <w:bCs/>
                <w:sz w:val="20"/>
                <w:szCs w:val="20"/>
              </w:rPr>
              <w:t xml:space="preserve">Offer secure online messaging to patients: at least 25 patients </w:t>
            </w:r>
          </w:p>
          <w:p w:rsidR="00472212" w:rsidRPr="00D7704E" w:rsidRDefault="00472212" w:rsidP="00B15945">
            <w:pPr>
              <w:rPr>
                <w:rFonts w:eastAsia="Times New Roman" w:cs="Times New Roman"/>
                <w:bCs/>
                <w:sz w:val="20"/>
                <w:szCs w:val="20"/>
              </w:rPr>
            </w:pPr>
          </w:p>
        </w:tc>
        <w:tc>
          <w:tcPr>
            <w:tcW w:w="5940" w:type="dxa"/>
            <w:tcBorders>
              <w:bottom w:val="single" w:sz="12" w:space="0" w:color="4F81BD" w:themeColor="accent1"/>
            </w:tcBorders>
            <w:shd w:val="clear" w:color="auto" w:fill="auto"/>
            <w:noWrap/>
          </w:tcPr>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Objective:</w:t>
            </w:r>
            <w:r w:rsidRPr="00D7704E">
              <w:rPr>
                <w:rFonts w:eastAsia="Times New Roman" w:cs="Times New Roman"/>
                <w:bCs/>
                <w:sz w:val="20"/>
                <w:szCs w:val="20"/>
              </w:rPr>
              <w:t xml:space="preserve"> Use secure electronic messaging to communicate with patients on relevant health information</w:t>
            </w:r>
          </w:p>
          <w:p w:rsidR="00472212"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A secure message was sent using the electronic messaging function of Certified EHR Technology by more than 10 % of unique patients seen during the EHR reporting period</w:t>
            </w:r>
          </w:p>
        </w:tc>
      </w:tr>
      <w:tr w:rsidR="00472212" w:rsidRPr="00D7704E">
        <w:trPr>
          <w:trHeight w:val="330"/>
        </w:trPr>
        <w:tc>
          <w:tcPr>
            <w:tcW w:w="1005" w:type="dxa"/>
            <w:vMerge/>
            <w:vAlign w:val="center"/>
          </w:tcPr>
          <w:p w:rsidR="00472212" w:rsidRPr="00D7704E" w:rsidRDefault="00472212" w:rsidP="00B15945">
            <w:pPr>
              <w:spacing w:after="0" w:line="240" w:lineRule="auto"/>
              <w:rPr>
                <w:rFonts w:eastAsia="Times New Roman" w:cs="Times New Roman"/>
                <w:b/>
                <w:bCs/>
                <w:sz w:val="20"/>
                <w:szCs w:val="20"/>
              </w:rPr>
            </w:pPr>
          </w:p>
        </w:tc>
        <w:tc>
          <w:tcPr>
            <w:tcW w:w="13230" w:type="dxa"/>
            <w:gridSpan w:val="5"/>
            <w:tcBorders>
              <w:top w:val="single" w:sz="12" w:space="0" w:color="4F81BD" w:themeColor="accent1"/>
            </w:tcBorders>
            <w:shd w:val="clear" w:color="000000" w:fill="FFFFFF"/>
          </w:tcPr>
          <w:p w:rsidR="00472212" w:rsidRDefault="007F2572" w:rsidP="00B15945">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r w:rsidR="00481427">
              <w:rPr>
                <w:rFonts w:eastAsia="Times New Roman" w:cs="Times New Roman"/>
                <w:b/>
                <w:bCs/>
                <w:color w:val="365F91" w:themeColor="accent1" w:themeShade="BF"/>
                <w:sz w:val="20"/>
                <w:szCs w:val="20"/>
              </w:rPr>
              <w:t xml:space="preserve"> </w:t>
            </w:r>
          </w:p>
          <w:p w:rsidR="00EF422C" w:rsidRPr="00F1635D" w:rsidRDefault="0073390F" w:rsidP="00F1635D">
            <w:pPr>
              <w:pStyle w:val="ListParagraph"/>
              <w:numPr>
                <w:ilvl w:val="0"/>
                <w:numId w:val="45"/>
              </w:numPr>
              <w:rPr>
                <w:rFonts w:eastAsia="Times New Roman" w:cs="Times New Roman"/>
                <w:b/>
                <w:bCs/>
                <w:sz w:val="20"/>
                <w:szCs w:val="20"/>
              </w:rPr>
            </w:pPr>
            <w:r w:rsidRPr="00F1635D">
              <w:rPr>
                <w:rFonts w:eastAsia="Times New Roman"/>
                <w:bCs/>
                <w:sz w:val="20"/>
                <w:szCs w:val="20"/>
              </w:rPr>
              <w:t xml:space="preserve">We are concerned </w:t>
            </w:r>
            <w:r w:rsidR="00CE0D91" w:rsidRPr="00F1635D">
              <w:rPr>
                <w:rFonts w:eastAsia="Times New Roman"/>
                <w:bCs/>
                <w:sz w:val="20"/>
                <w:szCs w:val="20"/>
              </w:rPr>
              <w:t>that</w:t>
            </w:r>
            <w:r w:rsidRPr="00F1635D">
              <w:rPr>
                <w:rFonts w:eastAsia="Times New Roman"/>
                <w:bCs/>
                <w:sz w:val="20"/>
                <w:szCs w:val="20"/>
              </w:rPr>
              <w:t xml:space="preserve"> 10% </w:t>
            </w:r>
            <w:r w:rsidR="00CE0D91" w:rsidRPr="00F1635D">
              <w:rPr>
                <w:rFonts w:eastAsia="Times New Roman"/>
                <w:bCs/>
                <w:sz w:val="20"/>
                <w:szCs w:val="20"/>
              </w:rPr>
              <w:t>is</w:t>
            </w:r>
            <w:r w:rsidRPr="00F1635D">
              <w:rPr>
                <w:rFonts w:eastAsia="Times New Roman"/>
                <w:bCs/>
                <w:sz w:val="20"/>
                <w:szCs w:val="20"/>
              </w:rPr>
              <w:t xml:space="preserve"> too high to achieve by Stage 2. We recommend lowering the threshold to 5% (which is 10% of the necessary 50% with portal access) for patient-initiated messages. The patient-initiated message could be a response to a provider message. </w:t>
            </w:r>
          </w:p>
          <w:p w:rsidR="00F1635D" w:rsidRPr="00F1635D" w:rsidRDefault="00F1635D" w:rsidP="00F1635D">
            <w:pPr>
              <w:pStyle w:val="ListParagraph"/>
              <w:numPr>
                <w:ilvl w:val="0"/>
                <w:numId w:val="45"/>
              </w:numPr>
              <w:rPr>
                <w:rFonts w:eastAsia="Times New Roman" w:cs="Times New Roman"/>
                <w:b/>
                <w:bCs/>
                <w:sz w:val="20"/>
                <w:szCs w:val="20"/>
              </w:rPr>
            </w:pPr>
            <w:r w:rsidRPr="00A13B44">
              <w:rPr>
                <w:rFonts w:eastAsia="Times New Roman" w:cs="Times New Roman"/>
                <w:bCs/>
                <w:sz w:val="20"/>
                <w:szCs w:val="20"/>
              </w:rPr>
              <w:t xml:space="preserve">Exclusion allowed for low broadband access (according to FCC) and special hardship cases (e.g. Amish). </w:t>
            </w:r>
          </w:p>
        </w:tc>
      </w:tr>
      <w:tr w:rsidR="00472212" w:rsidRPr="00D7704E" w:rsidTr="00174FA6">
        <w:trPr>
          <w:trHeight w:val="690"/>
        </w:trPr>
        <w:tc>
          <w:tcPr>
            <w:tcW w:w="1005" w:type="dxa"/>
            <w:shd w:val="clear" w:color="auto" w:fill="286AA0"/>
          </w:tcPr>
          <w:p w:rsidR="00472212" w:rsidRPr="00D7704E" w:rsidRDefault="00801163" w:rsidP="00B15945">
            <w:pPr>
              <w:spacing w:after="0" w:line="240" w:lineRule="auto"/>
              <w:jc w:val="center"/>
              <w:rPr>
                <w:rFonts w:ascii="Garamond" w:eastAsia="Times New Roman" w:hAnsi="Garamond" w:cs="Times New Roman"/>
                <w:b/>
                <w:bCs/>
                <w:color w:val="FFFFFF"/>
                <w:sz w:val="20"/>
                <w:szCs w:val="20"/>
              </w:rPr>
            </w:pPr>
            <w:r>
              <w:br w:type="page"/>
            </w:r>
            <w:r w:rsidR="00472212" w:rsidRPr="00D7704E">
              <w:rPr>
                <w:rFonts w:ascii="Garamond" w:eastAsia="Times New Roman" w:hAnsi="Garamond" w:cs="Times New Roman"/>
                <w:b/>
                <w:bCs/>
                <w:color w:val="FFFFFF"/>
                <w:sz w:val="20"/>
                <w:szCs w:val="20"/>
              </w:rPr>
              <w:t>Policy Priority</w:t>
            </w:r>
          </w:p>
        </w:tc>
        <w:tc>
          <w:tcPr>
            <w:tcW w:w="216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9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38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472212" w:rsidRPr="00D7704E" w:rsidTr="00174FA6">
        <w:trPr>
          <w:trHeight w:val="935"/>
        </w:trPr>
        <w:tc>
          <w:tcPr>
            <w:tcW w:w="1005" w:type="dxa"/>
            <w:vMerge w:val="restart"/>
            <w:shd w:val="clear" w:color="auto" w:fill="auto"/>
          </w:tcPr>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2160" w:type="dxa"/>
            <w:tcBorders>
              <w:bottom w:val="single" w:sz="12" w:space="0" w:color="4F81BD" w:themeColor="accent1"/>
            </w:tcBorders>
            <w:shd w:val="clear" w:color="auto" w:fill="auto"/>
            <w:noWrap/>
          </w:tcPr>
          <w:p w:rsidR="00472212" w:rsidRPr="00D7704E" w:rsidRDefault="00472212" w:rsidP="00B15945">
            <w:pPr>
              <w:rPr>
                <w:rFonts w:eastAsia="Times New Roman"/>
                <w:b/>
                <w:bCs/>
                <w:sz w:val="20"/>
                <w:szCs w:val="20"/>
              </w:rPr>
            </w:pPr>
            <w:r w:rsidRPr="00D7704E">
              <w:rPr>
                <w:rFonts w:eastAsia="Times New Roman"/>
                <w:b/>
                <w:bCs/>
                <w:sz w:val="20"/>
                <w:szCs w:val="20"/>
              </w:rPr>
              <w:t>N/A</w:t>
            </w:r>
          </w:p>
          <w:p w:rsidR="00472212" w:rsidRPr="00D7704E" w:rsidRDefault="00472212" w:rsidP="00B15945">
            <w:pPr>
              <w:rPr>
                <w:rFonts w:eastAsia="Times New Roman" w:cs="Times New Roman"/>
                <w:b/>
                <w:bCs/>
                <w:sz w:val="20"/>
                <w:szCs w:val="20"/>
              </w:rPr>
            </w:pPr>
          </w:p>
        </w:tc>
        <w:tc>
          <w:tcPr>
            <w:tcW w:w="3690" w:type="dxa"/>
            <w:gridSpan w:val="2"/>
            <w:tcBorders>
              <w:bottom w:val="single" w:sz="12" w:space="0" w:color="4F81BD" w:themeColor="accent1"/>
            </w:tcBorders>
            <w:shd w:val="clear" w:color="auto" w:fill="auto"/>
            <w:noWrap/>
          </w:tcPr>
          <w:p w:rsidR="00472212" w:rsidRPr="00D7704E" w:rsidRDefault="00F07039" w:rsidP="00472212">
            <w:pPr>
              <w:rPr>
                <w:rFonts w:eastAsia="Times New Roman" w:cs="Times New Roman"/>
                <w:bCs/>
                <w:sz w:val="20"/>
                <w:szCs w:val="20"/>
              </w:rPr>
            </w:pPr>
            <w:r w:rsidRPr="00D7704E">
              <w:rPr>
                <w:rFonts w:eastAsia="Times New Roman"/>
                <w:bCs/>
                <w:sz w:val="20"/>
                <w:szCs w:val="20"/>
              </w:rPr>
              <w:t>Record patient preferences for communication medium for more than 20% of all unique patients seen during the reporting period</w:t>
            </w:r>
          </w:p>
        </w:tc>
        <w:tc>
          <w:tcPr>
            <w:tcW w:w="7380" w:type="dxa"/>
            <w:gridSpan w:val="2"/>
            <w:tcBorders>
              <w:bottom w:val="single" w:sz="12" w:space="0" w:color="4F81BD" w:themeColor="accent1"/>
            </w:tcBorders>
            <w:shd w:val="clear" w:color="auto" w:fill="auto"/>
            <w:noWrap/>
          </w:tcPr>
          <w:p w:rsidR="00472212" w:rsidRPr="00D7704E" w:rsidRDefault="00472212" w:rsidP="00B15945">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
                <w:bCs/>
                <w:sz w:val="20"/>
                <w:szCs w:val="20"/>
                <w:u w:val="single"/>
              </w:rPr>
              <w:t>not</w:t>
            </w:r>
            <w:r w:rsidRPr="00D7704E">
              <w:rPr>
                <w:rFonts w:eastAsia="Times New Roman" w:cs="Times New Roman"/>
                <w:b/>
                <w:bCs/>
                <w:sz w:val="20"/>
                <w:szCs w:val="20"/>
              </w:rPr>
              <w:t xml:space="preserve"> included – asked for comment </w:t>
            </w:r>
          </w:p>
          <w:p w:rsidR="00472212" w:rsidRPr="00D7704E" w:rsidRDefault="00472212" w:rsidP="00F07039">
            <w:pPr>
              <w:spacing w:after="0" w:line="240" w:lineRule="auto"/>
              <w:rPr>
                <w:rFonts w:eastAsia="Times New Roman" w:cs="Times New Roman"/>
                <w:bCs/>
                <w:sz w:val="20"/>
                <w:szCs w:val="20"/>
              </w:rPr>
            </w:pPr>
            <w:r w:rsidRPr="00D7704E">
              <w:rPr>
                <w:rFonts w:eastAsia="Times New Roman" w:cs="Times New Roman"/>
                <w:b/>
                <w:bCs/>
                <w:sz w:val="20"/>
                <w:szCs w:val="20"/>
              </w:rPr>
              <w:t>EP</w:t>
            </w:r>
            <w:r w:rsidR="00F07039" w:rsidRPr="00D7704E">
              <w:rPr>
                <w:rFonts w:eastAsia="Times New Roman" w:cs="Times New Roman"/>
                <w:bCs/>
                <w:sz w:val="20"/>
                <w:szCs w:val="20"/>
              </w:rPr>
              <w:t xml:space="preserve"> </w:t>
            </w:r>
            <w:r w:rsidR="00F07039" w:rsidRPr="00D7704E">
              <w:rPr>
                <w:rFonts w:eastAsia="Times New Roman" w:cs="Times New Roman"/>
                <w:b/>
                <w:bCs/>
                <w:sz w:val="20"/>
                <w:szCs w:val="20"/>
              </w:rPr>
              <w:t>Objective/Measure</w:t>
            </w:r>
            <w:r w:rsidR="00F07039" w:rsidRPr="00D7704E">
              <w:rPr>
                <w:rFonts w:eastAsia="Times New Roman" w:cs="Times New Roman"/>
                <w:bCs/>
                <w:sz w:val="20"/>
                <w:szCs w:val="20"/>
              </w:rPr>
              <w:t>: Record patient preferences for communication medium for more than 20 % of all unique patients seen during the EHR reporting period. We believe that this requirement is better incorporated with other objectives that require patient communication and is not necessary as a standalone objective.</w:t>
            </w:r>
          </w:p>
        </w:tc>
      </w:tr>
      <w:tr w:rsidR="00472212" w:rsidRPr="00D7704E" w:rsidTr="00174FA6">
        <w:trPr>
          <w:trHeight w:val="951"/>
        </w:trPr>
        <w:tc>
          <w:tcPr>
            <w:tcW w:w="1005" w:type="dxa"/>
            <w:vMerge/>
            <w:vAlign w:val="center"/>
          </w:tcPr>
          <w:p w:rsidR="00472212" w:rsidRPr="00D7704E" w:rsidRDefault="00472212" w:rsidP="00B15945">
            <w:pPr>
              <w:spacing w:after="0" w:line="240" w:lineRule="auto"/>
              <w:rPr>
                <w:rFonts w:eastAsia="Times New Roman" w:cs="Times New Roman"/>
                <w:b/>
                <w:bCs/>
                <w:sz w:val="20"/>
                <w:szCs w:val="20"/>
              </w:rPr>
            </w:pPr>
          </w:p>
        </w:tc>
        <w:tc>
          <w:tcPr>
            <w:tcW w:w="13230" w:type="dxa"/>
            <w:gridSpan w:val="5"/>
            <w:tcBorders>
              <w:top w:val="single" w:sz="12" w:space="0" w:color="4F81BD" w:themeColor="accent1"/>
            </w:tcBorders>
            <w:shd w:val="clear" w:color="000000" w:fill="FFFFFF"/>
          </w:tcPr>
          <w:p w:rsidR="00472212" w:rsidRPr="00D7704E" w:rsidRDefault="007F2572" w:rsidP="00174FA6">
            <w:pPr>
              <w:spacing w:after="0" w:line="240" w:lineRule="auto"/>
              <w:rPr>
                <w:rFonts w:eastAsia="Times New Roman" w:cs="Times New Roman"/>
                <w:b/>
                <w:bCs/>
                <w:sz w:val="20"/>
                <w:szCs w:val="20"/>
              </w:rPr>
            </w:pPr>
            <w:proofErr w:type="gramStart"/>
            <w:r>
              <w:rPr>
                <w:rFonts w:eastAsia="Times New Roman" w:cs="Times New Roman"/>
                <w:b/>
                <w:bCs/>
                <w:color w:val="365F91" w:themeColor="accent1" w:themeShade="BF"/>
                <w:sz w:val="20"/>
                <w:szCs w:val="20"/>
              </w:rPr>
              <w:t>Comments</w:t>
            </w:r>
            <w:r w:rsidR="00481427">
              <w:rPr>
                <w:rFonts w:eastAsia="Times New Roman" w:cs="Times New Roman"/>
                <w:b/>
                <w:bCs/>
                <w:color w:val="365F91" w:themeColor="accent1" w:themeShade="BF"/>
                <w:sz w:val="20"/>
                <w:szCs w:val="20"/>
              </w:rPr>
              <w:t xml:space="preserve"> </w:t>
            </w:r>
            <w:r w:rsidR="00174FA6">
              <w:rPr>
                <w:rFonts w:eastAsia="Times New Roman" w:cs="Times New Roman"/>
                <w:b/>
                <w:bCs/>
                <w:color w:val="365F91" w:themeColor="accent1" w:themeShade="BF"/>
                <w:sz w:val="20"/>
                <w:szCs w:val="20"/>
              </w:rPr>
              <w:t>:</w:t>
            </w:r>
            <w:proofErr w:type="gramEnd"/>
            <w:r w:rsidR="00174FA6">
              <w:rPr>
                <w:rFonts w:eastAsia="Times New Roman" w:cs="Times New Roman"/>
                <w:b/>
                <w:bCs/>
                <w:color w:val="365F91" w:themeColor="accent1" w:themeShade="BF"/>
                <w:sz w:val="20"/>
                <w:szCs w:val="20"/>
              </w:rPr>
              <w:t xml:space="preserve"> </w:t>
            </w:r>
            <w:r w:rsidR="00CE0D91">
              <w:rPr>
                <w:rFonts w:eastAsia="Times New Roman"/>
                <w:bCs/>
                <w:sz w:val="20"/>
                <w:szCs w:val="20"/>
              </w:rPr>
              <w:t xml:space="preserve">We recommend inclusion of this objective </w:t>
            </w:r>
            <w:r w:rsidR="0073390F">
              <w:rPr>
                <w:rFonts w:eastAsia="Times New Roman"/>
                <w:bCs/>
                <w:sz w:val="20"/>
                <w:szCs w:val="20"/>
              </w:rPr>
              <w:t xml:space="preserve">as a Core measure.  </w:t>
            </w:r>
            <w:r w:rsidR="0073390F" w:rsidRPr="00D7704E">
              <w:rPr>
                <w:rFonts w:eastAsia="Times New Roman"/>
                <w:bCs/>
                <w:sz w:val="20"/>
                <w:szCs w:val="20"/>
              </w:rPr>
              <w:t xml:space="preserve">HITPC's intent was to capture a patient's preferred communication method in order for the system to use that media for future non-urgent communication.  This respects the patient's wishes and is more efficient for the provider.  We recommend that the preferred communication field support multiple message types (e.g., non-urgent clinical, administrative) and preferred media </w:t>
            </w:r>
            <w:proofErr w:type="gramStart"/>
            <w:r w:rsidR="0073390F" w:rsidRPr="00D7704E">
              <w:rPr>
                <w:rFonts w:eastAsia="Times New Roman"/>
                <w:bCs/>
                <w:sz w:val="20"/>
                <w:szCs w:val="20"/>
              </w:rPr>
              <w:t>( e.g</w:t>
            </w:r>
            <w:proofErr w:type="gramEnd"/>
            <w:r w:rsidR="0073390F" w:rsidRPr="00D7704E">
              <w:rPr>
                <w:rFonts w:eastAsia="Times New Roman"/>
                <w:bCs/>
                <w:sz w:val="20"/>
                <w:szCs w:val="20"/>
              </w:rPr>
              <w:t xml:space="preserve">., electronic, phone, SMS message).  </w:t>
            </w:r>
          </w:p>
        </w:tc>
      </w:tr>
    </w:tbl>
    <w:p w:rsidR="00472212" w:rsidRPr="00D7704E" w:rsidRDefault="00472212">
      <w:pPr>
        <w:rPr>
          <w:sz w:val="20"/>
          <w:szCs w:val="20"/>
        </w:rPr>
      </w:pPr>
    </w:p>
    <w:p w:rsidR="001C5D40" w:rsidRPr="00D7704E" w:rsidRDefault="001C5D40">
      <w:pPr>
        <w:rPr>
          <w:sz w:val="20"/>
          <w:szCs w:val="20"/>
        </w:rPr>
      </w:pP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3240"/>
        <w:gridCol w:w="720"/>
        <w:gridCol w:w="1350"/>
        <w:gridCol w:w="1890"/>
        <w:gridCol w:w="5940"/>
        <w:gridCol w:w="90"/>
      </w:tblGrid>
      <w:tr w:rsidR="00E65DDD" w:rsidRPr="00D7704E" w:rsidTr="005B550A">
        <w:trPr>
          <w:gridAfter w:val="1"/>
          <w:wAfter w:w="90" w:type="dxa"/>
          <w:trHeight w:val="447"/>
        </w:trPr>
        <w:tc>
          <w:tcPr>
            <w:tcW w:w="1095" w:type="dxa"/>
            <w:shd w:val="clear" w:color="auto" w:fill="286AA0"/>
          </w:tcPr>
          <w:p w:rsidR="00E65DDD" w:rsidRPr="00D7704E" w:rsidRDefault="00FA0235" w:rsidP="00AF0BD8">
            <w:pPr>
              <w:spacing w:after="0" w:line="240" w:lineRule="auto"/>
              <w:jc w:val="center"/>
              <w:rPr>
                <w:rFonts w:ascii="Garamond" w:eastAsia="Times New Roman" w:hAnsi="Garamond" w:cs="Times New Roman"/>
                <w:b/>
                <w:bCs/>
                <w:color w:val="FFFFFF"/>
                <w:sz w:val="20"/>
                <w:szCs w:val="20"/>
              </w:rPr>
            </w:pPr>
            <w:r>
              <w:br w:type="page"/>
            </w:r>
            <w:r w:rsidR="00E65DDD" w:rsidRPr="00D7704E">
              <w:rPr>
                <w:rFonts w:ascii="Garamond" w:eastAsia="Times New Roman" w:hAnsi="Garamond" w:cs="Times New Roman"/>
                <w:b/>
                <w:bCs/>
                <w:color w:val="FFFFFF"/>
                <w:sz w:val="20"/>
                <w:szCs w:val="20"/>
              </w:rPr>
              <w:t>Policy Priority</w:t>
            </w:r>
          </w:p>
        </w:tc>
        <w:tc>
          <w:tcPr>
            <w:tcW w:w="3960" w:type="dxa"/>
            <w:gridSpan w:val="2"/>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gridSpan w:val="2"/>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940" w:type="dxa"/>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E65DDD" w:rsidRPr="00D7704E" w:rsidTr="005B550A">
        <w:trPr>
          <w:gridAfter w:val="1"/>
          <w:wAfter w:w="90" w:type="dxa"/>
          <w:trHeight w:val="602"/>
        </w:trPr>
        <w:tc>
          <w:tcPr>
            <w:tcW w:w="1095" w:type="dxa"/>
            <w:vMerge w:val="restart"/>
            <w:shd w:val="clear" w:color="auto" w:fill="auto"/>
          </w:tcPr>
          <w:p w:rsidR="00E65DDD" w:rsidRPr="00D7704E" w:rsidRDefault="00E65DDD"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Care Coordination</w:t>
            </w:r>
          </w:p>
          <w:p w:rsidR="00E65DDD" w:rsidRPr="00D7704E" w:rsidRDefault="00E65DDD" w:rsidP="00AF0BD8">
            <w:pPr>
              <w:spacing w:after="0" w:line="240" w:lineRule="auto"/>
              <w:jc w:val="center"/>
              <w:rPr>
                <w:rFonts w:eastAsia="Times New Roman" w:cs="Times New Roman"/>
                <w:b/>
                <w:bCs/>
                <w:sz w:val="20"/>
                <w:szCs w:val="20"/>
              </w:rPr>
            </w:pPr>
          </w:p>
        </w:tc>
        <w:tc>
          <w:tcPr>
            <w:tcW w:w="3960" w:type="dxa"/>
            <w:gridSpan w:val="2"/>
            <w:tcBorders>
              <w:bottom w:val="single" w:sz="12" w:space="0" w:color="4F81BD" w:themeColor="accent1"/>
            </w:tcBorders>
            <w:shd w:val="clear" w:color="auto" w:fill="auto"/>
            <w:noWrap/>
          </w:tcPr>
          <w:p w:rsidR="00E65DDD" w:rsidRPr="00D7704E" w:rsidRDefault="00E65DDD" w:rsidP="00AF0BD8">
            <w:pPr>
              <w:rPr>
                <w:bCs/>
                <w:sz w:val="20"/>
                <w:szCs w:val="20"/>
              </w:rPr>
            </w:pPr>
            <w:r w:rsidRPr="00D7704E">
              <w:rPr>
                <w:rFonts w:eastAsia="Times New Roman"/>
                <w:bCs/>
                <w:sz w:val="20"/>
                <w:szCs w:val="20"/>
              </w:rPr>
              <w:t xml:space="preserve">Perform at least one test of the capability to exchange key clinical information </w:t>
            </w:r>
          </w:p>
          <w:p w:rsidR="00E65DDD" w:rsidRPr="00D7704E" w:rsidRDefault="00E65DDD" w:rsidP="00AF0BD8">
            <w:pPr>
              <w:spacing w:after="0" w:line="240" w:lineRule="auto"/>
              <w:rPr>
                <w:rFonts w:eastAsia="Times New Roman" w:cs="Times New Roman"/>
                <w:b/>
                <w:bCs/>
                <w:sz w:val="20"/>
                <w:szCs w:val="20"/>
              </w:rPr>
            </w:pPr>
          </w:p>
        </w:tc>
        <w:tc>
          <w:tcPr>
            <w:tcW w:w="3240" w:type="dxa"/>
            <w:gridSpan w:val="2"/>
            <w:tcBorders>
              <w:bottom w:val="single" w:sz="12" w:space="0" w:color="4F81BD" w:themeColor="accent1"/>
            </w:tcBorders>
            <w:shd w:val="clear" w:color="auto" w:fill="auto"/>
            <w:noWrap/>
          </w:tcPr>
          <w:p w:rsidR="00E65DDD" w:rsidRPr="00D7704E" w:rsidRDefault="00E65DDD" w:rsidP="00AF0BD8">
            <w:pPr>
              <w:rPr>
                <w:bCs/>
                <w:sz w:val="20"/>
                <w:szCs w:val="20"/>
              </w:rPr>
            </w:pPr>
            <w:r w:rsidRPr="00D7704E">
              <w:rPr>
                <w:rFonts w:eastAsia="Times New Roman"/>
                <w:bCs/>
                <w:sz w:val="20"/>
                <w:szCs w:val="20"/>
              </w:rPr>
              <w:t>HIE test eliminated in favor of actual use case objectives</w:t>
            </w:r>
          </w:p>
          <w:p w:rsidR="00E65DDD" w:rsidRPr="00D7704E" w:rsidRDefault="00E65DDD" w:rsidP="00AF0BD8">
            <w:pPr>
              <w:spacing w:after="0" w:line="240" w:lineRule="auto"/>
              <w:rPr>
                <w:rFonts w:eastAsia="Times New Roman" w:cs="Times New Roman"/>
                <w:b/>
                <w:bCs/>
                <w:sz w:val="20"/>
                <w:szCs w:val="20"/>
              </w:rPr>
            </w:pPr>
          </w:p>
        </w:tc>
        <w:tc>
          <w:tcPr>
            <w:tcW w:w="5940" w:type="dxa"/>
            <w:tcBorders>
              <w:bottom w:val="single" w:sz="12" w:space="0" w:color="4F81BD" w:themeColor="accent1"/>
            </w:tcBorders>
            <w:shd w:val="clear" w:color="auto" w:fill="auto"/>
            <w:noWrap/>
          </w:tcPr>
          <w:p w:rsidR="00E65DDD" w:rsidRPr="00D7704E" w:rsidRDefault="00E65DDD" w:rsidP="00AF0BD8">
            <w:pPr>
              <w:spacing w:after="0" w:line="240" w:lineRule="auto"/>
              <w:rPr>
                <w:rFonts w:eastAsia="Times New Roman" w:cs="Times New Roman"/>
                <w:bCs/>
                <w:sz w:val="20"/>
                <w:szCs w:val="20"/>
              </w:rPr>
            </w:pPr>
            <w:r w:rsidRPr="00D7704E">
              <w:rPr>
                <w:rFonts w:eastAsia="Times New Roman" w:cs="Times New Roman"/>
                <w:b/>
                <w:bCs/>
                <w:sz w:val="20"/>
                <w:szCs w:val="20"/>
              </w:rPr>
              <w:t xml:space="preserve">Removed </w:t>
            </w:r>
            <w:r w:rsidRPr="00D7704E">
              <w:rPr>
                <w:rFonts w:eastAsia="Times New Roman" w:cs="Times New Roman"/>
                <w:bCs/>
                <w:sz w:val="20"/>
                <w:szCs w:val="20"/>
              </w:rPr>
              <w:t>for an actual use case </w:t>
            </w:r>
          </w:p>
        </w:tc>
      </w:tr>
      <w:tr w:rsidR="00E65DDD" w:rsidRPr="00D7704E" w:rsidTr="005B550A">
        <w:trPr>
          <w:gridAfter w:val="1"/>
          <w:wAfter w:w="90" w:type="dxa"/>
          <w:trHeight w:val="303"/>
        </w:trPr>
        <w:tc>
          <w:tcPr>
            <w:tcW w:w="1095" w:type="dxa"/>
            <w:vMerge/>
            <w:vAlign w:val="center"/>
          </w:tcPr>
          <w:p w:rsidR="00E65DDD" w:rsidRPr="00D7704E" w:rsidRDefault="00E65DDD" w:rsidP="00AF0BD8">
            <w:pPr>
              <w:spacing w:after="0" w:line="240" w:lineRule="auto"/>
              <w:rPr>
                <w:rFonts w:eastAsia="Times New Roman" w:cs="Times New Roman"/>
                <w:b/>
                <w:bCs/>
                <w:sz w:val="20"/>
                <w:szCs w:val="20"/>
              </w:rPr>
            </w:pPr>
          </w:p>
        </w:tc>
        <w:tc>
          <w:tcPr>
            <w:tcW w:w="13140" w:type="dxa"/>
            <w:gridSpan w:val="5"/>
            <w:tcBorders>
              <w:top w:val="single" w:sz="12" w:space="0" w:color="4F81BD" w:themeColor="accent1"/>
            </w:tcBorders>
            <w:shd w:val="clear" w:color="000000" w:fill="FFFFFF"/>
          </w:tcPr>
          <w:p w:rsidR="0073390F" w:rsidRPr="00D7704E" w:rsidRDefault="007F2572" w:rsidP="0073390F">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Comments</w:t>
            </w:r>
            <w:r w:rsidR="00481427">
              <w:rPr>
                <w:rFonts w:eastAsia="Times New Roman" w:cs="Times New Roman"/>
                <w:b/>
                <w:bCs/>
                <w:color w:val="365F91" w:themeColor="accent1" w:themeShade="BF"/>
                <w:sz w:val="20"/>
                <w:szCs w:val="20"/>
              </w:rPr>
              <w:t xml:space="preserve"> </w:t>
            </w:r>
            <w:r w:rsidR="0073390F" w:rsidRPr="00D7704E">
              <w:rPr>
                <w:rFonts w:eastAsia="Times New Roman" w:cs="Times New Roman"/>
                <w:bCs/>
                <w:sz w:val="20"/>
                <w:szCs w:val="20"/>
              </w:rPr>
              <w:t>We agree with eliminating the test for Stage 2. For Stage 1, we suggested option 4 (actual electronic transmission of a summary of care document).</w:t>
            </w:r>
          </w:p>
          <w:p w:rsidR="00E65DDD" w:rsidRPr="00D7704E" w:rsidRDefault="00E65DDD" w:rsidP="002C6B7D">
            <w:pPr>
              <w:spacing w:after="0" w:line="240" w:lineRule="auto"/>
              <w:rPr>
                <w:rFonts w:eastAsia="Times New Roman" w:cs="Times New Roman"/>
                <w:b/>
                <w:bCs/>
                <w:sz w:val="20"/>
                <w:szCs w:val="20"/>
              </w:rPr>
            </w:pPr>
          </w:p>
        </w:tc>
      </w:tr>
      <w:tr w:rsidR="00472212" w:rsidRPr="00D7704E" w:rsidTr="005B550A">
        <w:trPr>
          <w:trHeight w:val="630"/>
        </w:trPr>
        <w:tc>
          <w:tcPr>
            <w:tcW w:w="1095" w:type="dxa"/>
            <w:shd w:val="clear" w:color="auto" w:fill="286AA0"/>
          </w:tcPr>
          <w:p w:rsidR="00472212" w:rsidRPr="00D7704E" w:rsidRDefault="00FA0235" w:rsidP="00B15945">
            <w:pPr>
              <w:spacing w:after="0" w:line="240" w:lineRule="auto"/>
              <w:jc w:val="center"/>
              <w:rPr>
                <w:rFonts w:ascii="Garamond" w:eastAsia="Times New Roman" w:hAnsi="Garamond" w:cs="Times New Roman"/>
                <w:b/>
                <w:bCs/>
                <w:color w:val="FFFFFF"/>
                <w:sz w:val="20"/>
                <w:szCs w:val="20"/>
              </w:rPr>
            </w:pPr>
            <w:r>
              <w:br w:type="page"/>
            </w:r>
            <w:r w:rsidR="00472212" w:rsidRPr="00D7704E">
              <w:rPr>
                <w:rFonts w:ascii="Garamond" w:eastAsia="Times New Roman" w:hAnsi="Garamond" w:cs="Times New Roman"/>
                <w:b/>
                <w:bCs/>
                <w:color w:val="FFFFFF"/>
                <w:sz w:val="20"/>
                <w:szCs w:val="20"/>
              </w:rPr>
              <w:t>Policy Priority</w:t>
            </w:r>
          </w:p>
        </w:tc>
        <w:tc>
          <w:tcPr>
            <w:tcW w:w="324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07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920" w:type="dxa"/>
            <w:gridSpan w:val="3"/>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472212" w:rsidRPr="00D7704E" w:rsidTr="005B550A">
        <w:trPr>
          <w:trHeight w:val="602"/>
        </w:trPr>
        <w:tc>
          <w:tcPr>
            <w:tcW w:w="1095" w:type="dxa"/>
            <w:vMerge w:val="restart"/>
            <w:shd w:val="clear" w:color="auto" w:fill="auto"/>
          </w:tcPr>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Care Coordination</w:t>
            </w:r>
          </w:p>
          <w:p w:rsidR="00472212" w:rsidRPr="00D7704E" w:rsidRDefault="00472212" w:rsidP="00B15945">
            <w:pPr>
              <w:spacing w:after="0" w:line="240" w:lineRule="auto"/>
              <w:jc w:val="center"/>
              <w:rPr>
                <w:rFonts w:eastAsia="Times New Roman" w:cs="Times New Roman"/>
                <w:b/>
                <w:bCs/>
                <w:sz w:val="20"/>
                <w:szCs w:val="20"/>
              </w:rPr>
            </w:pPr>
          </w:p>
        </w:tc>
        <w:tc>
          <w:tcPr>
            <w:tcW w:w="3240" w:type="dxa"/>
            <w:tcBorders>
              <w:bottom w:val="single" w:sz="12" w:space="0" w:color="4F81BD" w:themeColor="accent1"/>
            </w:tcBorders>
            <w:shd w:val="clear" w:color="auto" w:fill="auto"/>
            <w:noWrap/>
          </w:tcPr>
          <w:p w:rsidR="00472212" w:rsidRPr="00D7704E" w:rsidRDefault="00472212" w:rsidP="00472212">
            <w:pPr>
              <w:rPr>
                <w:rFonts w:eastAsia="Times New Roman"/>
                <w:bCs/>
                <w:sz w:val="20"/>
                <w:szCs w:val="20"/>
              </w:rPr>
            </w:pPr>
            <w:r w:rsidRPr="00D7704E">
              <w:rPr>
                <w:rFonts w:eastAsia="Times New Roman"/>
                <w:b/>
                <w:bCs/>
                <w:sz w:val="20"/>
                <w:szCs w:val="20"/>
              </w:rPr>
              <w:t>MENU:</w:t>
            </w:r>
            <w:r w:rsidRPr="00D7704E">
              <w:rPr>
                <w:rFonts w:eastAsia="Times New Roman"/>
                <w:bCs/>
                <w:sz w:val="20"/>
                <w:szCs w:val="20"/>
              </w:rPr>
              <w:t xml:space="preserve"> </w:t>
            </w:r>
            <w:r w:rsidR="00F07039" w:rsidRPr="00D7704E">
              <w:rPr>
                <w:rFonts w:eastAsia="Times New Roman"/>
                <w:bCs/>
                <w:sz w:val="20"/>
                <w:szCs w:val="20"/>
              </w:rPr>
              <w:t>Perform medication reconciliation for more than 50% of transitions of care in which the patient is transitioned into the care of the EP, eligible hospital, or CAH</w:t>
            </w:r>
          </w:p>
          <w:p w:rsidR="00472212" w:rsidRPr="00D7704E" w:rsidRDefault="00472212" w:rsidP="00B15945">
            <w:pPr>
              <w:spacing w:after="0" w:line="240" w:lineRule="auto"/>
              <w:rPr>
                <w:rFonts w:eastAsia="Times New Roman" w:cs="Times New Roman"/>
                <w:b/>
                <w:bCs/>
                <w:sz w:val="20"/>
                <w:szCs w:val="20"/>
              </w:rPr>
            </w:pPr>
          </w:p>
        </w:tc>
        <w:tc>
          <w:tcPr>
            <w:tcW w:w="2070" w:type="dxa"/>
            <w:gridSpan w:val="2"/>
            <w:tcBorders>
              <w:bottom w:val="single" w:sz="12" w:space="0" w:color="4F81BD" w:themeColor="accent1"/>
            </w:tcBorders>
            <w:shd w:val="clear" w:color="auto" w:fill="auto"/>
            <w:noWrap/>
          </w:tcPr>
          <w:p w:rsidR="00472212" w:rsidRPr="00D7704E" w:rsidRDefault="00472212" w:rsidP="00472212">
            <w:pPr>
              <w:rPr>
                <w:rFonts w:eastAsia="Times New Roman"/>
                <w:bCs/>
                <w:sz w:val="20"/>
                <w:szCs w:val="20"/>
              </w:rPr>
            </w:pPr>
            <w:r w:rsidRPr="00D7704E">
              <w:rPr>
                <w:rFonts w:eastAsia="Times New Roman"/>
                <w:bCs/>
                <w:sz w:val="20"/>
                <w:szCs w:val="20"/>
              </w:rPr>
              <w:t>Move to core.</w:t>
            </w:r>
          </w:p>
          <w:p w:rsidR="00472212" w:rsidRPr="00D7704E" w:rsidRDefault="00472212" w:rsidP="00B15945">
            <w:pPr>
              <w:spacing w:after="0" w:line="240" w:lineRule="auto"/>
              <w:rPr>
                <w:rFonts w:eastAsia="Times New Roman" w:cs="Times New Roman"/>
                <w:b/>
                <w:bCs/>
                <w:sz w:val="20"/>
                <w:szCs w:val="20"/>
              </w:rPr>
            </w:pPr>
          </w:p>
        </w:tc>
        <w:tc>
          <w:tcPr>
            <w:tcW w:w="7920" w:type="dxa"/>
            <w:gridSpan w:val="3"/>
            <w:tcBorders>
              <w:bottom w:val="single" w:sz="12" w:space="0" w:color="4F81BD" w:themeColor="accent1"/>
            </w:tcBorders>
            <w:shd w:val="clear" w:color="auto" w:fill="auto"/>
            <w:noWrap/>
          </w:tcPr>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EP Objective:</w:t>
            </w:r>
            <w:r w:rsidRPr="00D7704E">
              <w:rPr>
                <w:rFonts w:eastAsia="Times New Roman" w:cs="Times New Roman"/>
                <w:bCs/>
                <w:sz w:val="20"/>
                <w:szCs w:val="20"/>
              </w:rPr>
              <w:t xml:space="preserve"> The EP who receives a patient from another setting of care or provider of care or believes an encounter is relevant should perform medication reconciliation.</w:t>
            </w:r>
          </w:p>
          <w:p w:rsidR="00472212"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EP Measure:</w:t>
            </w:r>
            <w:r w:rsidRPr="00D7704E">
              <w:rPr>
                <w:rFonts w:eastAsia="Times New Roman" w:cs="Times New Roman"/>
                <w:bCs/>
                <w:sz w:val="20"/>
                <w:szCs w:val="20"/>
              </w:rPr>
              <w:t xml:space="preserve"> The EP, eligible hospital or CAH performs medication reconciliation for more than 65% of transitions of care in which the patient is transitioned into the care of the EP or admitted to the eligible hospital’s or CAH’s inpatient or emergency department (POS 21 or 23)</w:t>
            </w:r>
          </w:p>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EH Objective:</w:t>
            </w:r>
            <w:r w:rsidRPr="00D7704E">
              <w:rPr>
                <w:rFonts w:eastAsia="Times New Roman" w:cs="Times New Roman"/>
                <w:bCs/>
                <w:sz w:val="20"/>
                <w:szCs w:val="20"/>
              </w:rPr>
              <w:t xml:space="preserve"> The eligible hospital or CAH who receives a patient from another setting of care or provider of care or believes an encounter is relevant should perform medication reconciliation</w:t>
            </w:r>
          </w:p>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EH Measure:</w:t>
            </w:r>
            <w:r w:rsidRPr="00D7704E">
              <w:rPr>
                <w:rFonts w:eastAsia="Times New Roman" w:cs="Times New Roman"/>
                <w:bCs/>
                <w:sz w:val="20"/>
                <w:szCs w:val="20"/>
              </w:rPr>
              <w:t xml:space="preserve"> The EP, eligible hospital or CAH performs medication reconciliation for more than 65% of transitions of care in which the patient is transitioned into the care of the EP or admitted to the eligible hospital’s or CAH’s inpatient or emergency department (POS 21 or 23)</w:t>
            </w:r>
          </w:p>
        </w:tc>
      </w:tr>
      <w:tr w:rsidR="00472212" w:rsidRPr="00D7704E" w:rsidTr="005B550A">
        <w:trPr>
          <w:trHeight w:val="303"/>
        </w:trPr>
        <w:tc>
          <w:tcPr>
            <w:tcW w:w="1095" w:type="dxa"/>
            <w:vMerge/>
            <w:vAlign w:val="center"/>
          </w:tcPr>
          <w:p w:rsidR="00472212" w:rsidRPr="00D7704E" w:rsidRDefault="00472212" w:rsidP="00B15945">
            <w:pPr>
              <w:spacing w:after="0" w:line="240" w:lineRule="auto"/>
              <w:rPr>
                <w:rFonts w:eastAsia="Times New Roman" w:cs="Times New Roman"/>
                <w:b/>
                <w:bCs/>
                <w:sz w:val="20"/>
                <w:szCs w:val="20"/>
              </w:rPr>
            </w:pPr>
          </w:p>
        </w:tc>
        <w:tc>
          <w:tcPr>
            <w:tcW w:w="13230" w:type="dxa"/>
            <w:gridSpan w:val="6"/>
            <w:tcBorders>
              <w:top w:val="single" w:sz="12" w:space="0" w:color="4F81BD" w:themeColor="accent1"/>
            </w:tcBorders>
            <w:shd w:val="clear" w:color="000000" w:fill="FFFFFF"/>
          </w:tcPr>
          <w:p w:rsidR="00472212" w:rsidRPr="00D7704E" w:rsidRDefault="007F2572" w:rsidP="002C6B7D">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Comments</w:t>
            </w:r>
            <w:r w:rsidR="005B550A">
              <w:rPr>
                <w:rFonts w:eastAsia="Times New Roman" w:cs="Times New Roman"/>
                <w:b/>
                <w:bCs/>
                <w:color w:val="365F91" w:themeColor="accent1" w:themeShade="BF"/>
                <w:sz w:val="20"/>
                <w:szCs w:val="20"/>
              </w:rPr>
              <w:t>:</w:t>
            </w:r>
            <w:r w:rsidR="002C6B7D">
              <w:rPr>
                <w:rFonts w:eastAsia="Times New Roman" w:cs="Times New Roman"/>
                <w:b/>
                <w:bCs/>
                <w:color w:val="365F91" w:themeColor="accent1" w:themeShade="BF"/>
                <w:sz w:val="20"/>
                <w:szCs w:val="20"/>
              </w:rPr>
              <w:t xml:space="preserve"> </w:t>
            </w:r>
            <w:r w:rsidR="002C6B7D" w:rsidRPr="005B550A">
              <w:rPr>
                <w:rFonts w:eastAsia="Times New Roman" w:cs="Times New Roman"/>
                <w:bCs/>
                <w:sz w:val="20"/>
                <w:szCs w:val="20"/>
              </w:rPr>
              <w:t>Maintain the 50% threshold to eliminate the need to define exclusions.</w:t>
            </w:r>
            <w:r w:rsidR="002C6B7D" w:rsidRPr="005B550A">
              <w:rPr>
                <w:rFonts w:eastAsia="Times New Roman" w:cs="Times New Roman"/>
                <w:b/>
                <w:bCs/>
                <w:sz w:val="20"/>
                <w:szCs w:val="20"/>
              </w:rPr>
              <w:t xml:space="preserve">  </w:t>
            </w:r>
            <w:r w:rsidR="00CE0D91" w:rsidRPr="00B10C30">
              <w:rPr>
                <w:rFonts w:eastAsia="Times New Roman" w:cs="Times New Roman"/>
                <w:bCs/>
                <w:sz w:val="20"/>
                <w:szCs w:val="20"/>
              </w:rPr>
              <w:t>Will need to define certification criteria to allow provider to indicate that a transition is about to occur or has occurred.</w:t>
            </w:r>
          </w:p>
        </w:tc>
      </w:tr>
    </w:tbl>
    <w:p w:rsidR="00472212" w:rsidRPr="00D7704E" w:rsidRDefault="00472212">
      <w:pPr>
        <w:rPr>
          <w:sz w:val="20"/>
          <w:szCs w:val="20"/>
        </w:rPr>
      </w:pPr>
    </w:p>
    <w:p w:rsidR="00FA0235" w:rsidRDefault="00FA0235">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1620"/>
        <w:gridCol w:w="2520"/>
        <w:gridCol w:w="9090"/>
      </w:tblGrid>
      <w:tr w:rsidR="0008415F" w:rsidRPr="00D7704E">
        <w:trPr>
          <w:trHeight w:val="420"/>
        </w:trPr>
        <w:tc>
          <w:tcPr>
            <w:tcW w:w="1095" w:type="dxa"/>
            <w:shd w:val="clear" w:color="auto" w:fill="286AA0"/>
          </w:tcPr>
          <w:p w:rsidR="0008415F" w:rsidRPr="00D7704E" w:rsidRDefault="00D7704E" w:rsidP="00B15945">
            <w:pPr>
              <w:spacing w:after="0" w:line="240" w:lineRule="auto"/>
              <w:jc w:val="center"/>
              <w:rPr>
                <w:rFonts w:ascii="Garamond" w:eastAsia="Times New Roman" w:hAnsi="Garamond" w:cs="Times New Roman"/>
                <w:b/>
                <w:bCs/>
                <w:color w:val="FFFFFF"/>
                <w:sz w:val="20"/>
                <w:szCs w:val="20"/>
              </w:rPr>
            </w:pPr>
            <w:r w:rsidRPr="00D7704E">
              <w:rPr>
                <w:sz w:val="20"/>
                <w:szCs w:val="20"/>
              </w:rPr>
              <w:lastRenderedPageBreak/>
              <w:br w:type="page"/>
            </w:r>
            <w:r w:rsidR="0008415F" w:rsidRPr="00D7704E">
              <w:rPr>
                <w:rFonts w:ascii="Garamond" w:eastAsia="Times New Roman" w:hAnsi="Garamond" w:cs="Times New Roman"/>
                <w:b/>
                <w:bCs/>
                <w:color w:val="FFFFFF"/>
                <w:sz w:val="20"/>
                <w:szCs w:val="20"/>
              </w:rPr>
              <w:t>Policy Priority</w:t>
            </w:r>
          </w:p>
        </w:tc>
        <w:tc>
          <w:tcPr>
            <w:tcW w:w="162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52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909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08415F" w:rsidRPr="00D7704E">
        <w:trPr>
          <w:trHeight w:val="890"/>
        </w:trPr>
        <w:tc>
          <w:tcPr>
            <w:tcW w:w="1095" w:type="dxa"/>
            <w:vMerge w:val="restart"/>
            <w:shd w:val="clear" w:color="auto" w:fill="auto"/>
          </w:tcPr>
          <w:p w:rsidR="0008415F" w:rsidRPr="00D7704E" w:rsidRDefault="0008415F"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Care Coordination</w:t>
            </w:r>
          </w:p>
          <w:p w:rsidR="0008415F" w:rsidRPr="00D7704E" w:rsidRDefault="0008415F" w:rsidP="00B15945">
            <w:pPr>
              <w:spacing w:after="0" w:line="240" w:lineRule="auto"/>
              <w:jc w:val="center"/>
              <w:rPr>
                <w:rFonts w:eastAsia="Times New Roman" w:cs="Times New Roman"/>
                <w:b/>
                <w:bCs/>
                <w:sz w:val="20"/>
                <w:szCs w:val="20"/>
              </w:rPr>
            </w:pPr>
          </w:p>
        </w:tc>
        <w:tc>
          <w:tcPr>
            <w:tcW w:w="1620" w:type="dxa"/>
            <w:tcBorders>
              <w:bottom w:val="single" w:sz="12" w:space="0" w:color="4F81BD" w:themeColor="accent1"/>
            </w:tcBorders>
            <w:shd w:val="clear" w:color="auto" w:fill="auto"/>
            <w:noWrap/>
          </w:tcPr>
          <w:p w:rsidR="0008415F" w:rsidRPr="00D7704E" w:rsidRDefault="00F07039" w:rsidP="00B15945">
            <w:pPr>
              <w:spacing w:after="0" w:line="240" w:lineRule="auto"/>
              <w:rPr>
                <w:rFonts w:eastAsia="Times New Roman" w:cs="Times New Roman"/>
                <w:bCs/>
                <w:sz w:val="20"/>
                <w:szCs w:val="20"/>
              </w:rPr>
            </w:pPr>
            <w:r w:rsidRPr="00D7704E">
              <w:rPr>
                <w:rFonts w:eastAsia="Times New Roman"/>
                <w:bCs/>
                <w:sz w:val="20"/>
                <w:szCs w:val="20"/>
              </w:rPr>
              <w:t>MENU: Provide a summary of care record for more than 50% of all transitions and referrals of care</w:t>
            </w:r>
          </w:p>
        </w:tc>
        <w:tc>
          <w:tcPr>
            <w:tcW w:w="2520" w:type="dxa"/>
            <w:tcBorders>
              <w:bottom w:val="single" w:sz="12" w:space="0" w:color="4F81BD" w:themeColor="accent1"/>
            </w:tcBorders>
            <w:shd w:val="clear" w:color="auto" w:fill="auto"/>
            <w:noWrap/>
          </w:tcPr>
          <w:p w:rsidR="00F07039" w:rsidRPr="00D7704E" w:rsidRDefault="00F07039" w:rsidP="00F07039">
            <w:pPr>
              <w:rPr>
                <w:rFonts w:eastAsia="Times New Roman"/>
                <w:bCs/>
                <w:sz w:val="20"/>
                <w:szCs w:val="20"/>
              </w:rPr>
            </w:pPr>
            <w:r w:rsidRPr="00D7704E">
              <w:rPr>
                <w:rFonts w:eastAsia="Times New Roman"/>
                <w:bCs/>
                <w:sz w:val="20"/>
                <w:szCs w:val="20"/>
              </w:rPr>
              <w:t>1.Record and provide (by paper or electronically) a summary of care record for more than 50% of transitions of care for the referring EP or EH</w:t>
            </w:r>
          </w:p>
          <w:p w:rsidR="0008415F" w:rsidRPr="00D7704E" w:rsidRDefault="00F07039" w:rsidP="00F07039">
            <w:pPr>
              <w:rPr>
                <w:rFonts w:eastAsia="Times New Roman" w:cs="Times New Roman"/>
                <w:b/>
                <w:bCs/>
                <w:sz w:val="20"/>
                <w:szCs w:val="20"/>
              </w:rPr>
            </w:pPr>
            <w:r w:rsidRPr="00D7704E">
              <w:rPr>
                <w:rFonts w:eastAsia="Times New Roman"/>
                <w:bCs/>
                <w:sz w:val="20"/>
                <w:szCs w:val="20"/>
              </w:rPr>
              <w:t>2. Record care plan goals and patient instructions in the care plan for more than 10% of all active patients</w:t>
            </w:r>
          </w:p>
        </w:tc>
        <w:tc>
          <w:tcPr>
            <w:tcW w:w="9090" w:type="dxa"/>
            <w:tcBorders>
              <w:bottom w:val="single" w:sz="12" w:space="0" w:color="4F81BD" w:themeColor="accent1"/>
            </w:tcBorders>
            <w:shd w:val="clear" w:color="auto" w:fill="auto"/>
            <w:noWrap/>
          </w:tcPr>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 xml:space="preserve">EP Objective: </w:t>
            </w:r>
            <w:r w:rsidRPr="00D7704E">
              <w:rPr>
                <w:rFonts w:eastAsia="Times New Roman" w:cs="Times New Roman"/>
                <w:bCs/>
                <w:sz w:val="20"/>
                <w:szCs w:val="20"/>
              </w:rPr>
              <w:t>The EP who transitions their patient to another setting of care or provider of care or refers their patient to another provider of care should provide summary care record for each transition of care or referral.</w:t>
            </w:r>
          </w:p>
          <w:p w:rsidR="00F07039" w:rsidRPr="00D7704E" w:rsidRDefault="00F07039" w:rsidP="00F07039">
            <w:pPr>
              <w:spacing w:after="0" w:line="240" w:lineRule="auto"/>
              <w:rPr>
                <w:rFonts w:eastAsia="Times New Roman" w:cs="Times New Roman"/>
                <w:b/>
                <w:bCs/>
                <w:sz w:val="20"/>
                <w:szCs w:val="20"/>
              </w:rPr>
            </w:pPr>
          </w:p>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EH Objective:</w:t>
            </w:r>
            <w:r w:rsidRPr="00D7704E">
              <w:rPr>
                <w:rFonts w:eastAsia="Times New Roman" w:cs="Times New Roman"/>
                <w:bCs/>
                <w:sz w:val="20"/>
                <w:szCs w:val="20"/>
              </w:rPr>
              <w:t xml:space="preserve"> The eligible hospital or CAH who transitions their patient to another setting of care or provider of care or refers their patient to another provider of care should provide summary care record for each transition of care or referral.</w:t>
            </w:r>
          </w:p>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1. The EP, eligible hospital, or CAH that transitions or refers their patient to another setting of care or provider of care provides a summary of care record for more than 65 % of transitions of care and referrals.</w:t>
            </w:r>
          </w:p>
          <w:p w:rsidR="0008415F" w:rsidRPr="00D7704E" w:rsidRDefault="00F07039" w:rsidP="00F07039">
            <w:pPr>
              <w:spacing w:after="0" w:line="240" w:lineRule="auto"/>
              <w:rPr>
                <w:rFonts w:eastAsia="Times New Roman" w:cs="Times New Roman"/>
                <w:bCs/>
                <w:sz w:val="20"/>
                <w:szCs w:val="20"/>
              </w:rPr>
            </w:pPr>
            <w:r w:rsidRPr="00D7704E">
              <w:rPr>
                <w:rFonts w:eastAsia="Times New Roman" w:cs="Times New Roman"/>
                <w:bCs/>
                <w:sz w:val="20"/>
                <w:szCs w:val="20"/>
              </w:rPr>
              <w:t>2. The EP, eligible hospital, or CAH that transitions or refers their patient to another setting of care or provider of care electronically transmits a summary of care record using certified EHR technology to a recipient with no organizational affiliation and using a different Certified EHR Technology vendor than the sender for more than 10 % of transitions of care and referrals.</w:t>
            </w:r>
          </w:p>
        </w:tc>
      </w:tr>
      <w:tr w:rsidR="0008415F" w:rsidRPr="00D7704E">
        <w:trPr>
          <w:trHeight w:val="303"/>
        </w:trPr>
        <w:tc>
          <w:tcPr>
            <w:tcW w:w="1095" w:type="dxa"/>
            <w:vMerge/>
            <w:vAlign w:val="center"/>
          </w:tcPr>
          <w:p w:rsidR="0008415F" w:rsidRPr="00D7704E" w:rsidRDefault="0008415F" w:rsidP="00B15945">
            <w:pPr>
              <w:spacing w:after="0" w:line="240" w:lineRule="auto"/>
              <w:rPr>
                <w:rFonts w:eastAsia="Times New Roman" w:cs="Times New Roman"/>
                <w:b/>
                <w:bCs/>
                <w:sz w:val="20"/>
                <w:szCs w:val="20"/>
              </w:rPr>
            </w:pPr>
          </w:p>
        </w:tc>
        <w:tc>
          <w:tcPr>
            <w:tcW w:w="13230" w:type="dxa"/>
            <w:gridSpan w:val="3"/>
            <w:tcBorders>
              <w:top w:val="single" w:sz="12" w:space="0" w:color="4F81BD" w:themeColor="accent1"/>
            </w:tcBorders>
            <w:shd w:val="clear" w:color="000000" w:fill="FFFFFF"/>
          </w:tcPr>
          <w:p w:rsidR="000C6B5D" w:rsidRDefault="007F2572" w:rsidP="00B15945">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r w:rsidR="000C6B5D">
              <w:rPr>
                <w:rFonts w:eastAsia="Times New Roman" w:cs="Times New Roman"/>
                <w:b/>
                <w:bCs/>
                <w:color w:val="365F91" w:themeColor="accent1" w:themeShade="BF"/>
                <w:sz w:val="20"/>
                <w:szCs w:val="20"/>
              </w:rPr>
              <w:t xml:space="preserve"> </w:t>
            </w:r>
          </w:p>
          <w:p w:rsidR="00D6649D" w:rsidRDefault="00D6649D" w:rsidP="002C6B7D">
            <w:pPr>
              <w:pStyle w:val="ListParagraph"/>
              <w:numPr>
                <w:ilvl w:val="0"/>
                <w:numId w:val="31"/>
              </w:numPr>
              <w:spacing w:after="0" w:line="240" w:lineRule="auto"/>
              <w:rPr>
                <w:rFonts w:eastAsia="Times New Roman" w:cs="Times New Roman"/>
                <w:bCs/>
                <w:sz w:val="20"/>
                <w:szCs w:val="20"/>
              </w:rPr>
            </w:pPr>
            <w:r w:rsidRPr="00D6649D">
              <w:rPr>
                <w:rFonts w:eastAsia="Times New Roman" w:cs="Times New Roman"/>
                <w:bCs/>
                <w:sz w:val="20"/>
                <w:szCs w:val="20"/>
              </w:rPr>
              <w:t xml:space="preserve">In order to facilitate timely and meaningful referrals, we recommend that the care plan section of the summary of care document include the reason(s) for referral or transition and the results of the </w:t>
            </w:r>
            <w:proofErr w:type="gramStart"/>
            <w:r w:rsidRPr="00D6649D">
              <w:rPr>
                <w:rFonts w:eastAsia="Times New Roman" w:cs="Times New Roman"/>
                <w:bCs/>
                <w:sz w:val="20"/>
                <w:szCs w:val="20"/>
              </w:rPr>
              <w:t>referral  (</w:t>
            </w:r>
            <w:proofErr w:type="gramEnd"/>
            <w:r w:rsidRPr="00D6649D">
              <w:rPr>
                <w:rFonts w:eastAsia="Times New Roman" w:cs="Times New Roman"/>
                <w:bCs/>
                <w:sz w:val="20"/>
                <w:szCs w:val="20"/>
              </w:rPr>
              <w:t xml:space="preserve">recommendations).  </w:t>
            </w:r>
          </w:p>
          <w:p w:rsidR="002C6B7D" w:rsidRDefault="00D6649D" w:rsidP="002C6B7D">
            <w:pPr>
              <w:pStyle w:val="ListParagraph"/>
              <w:numPr>
                <w:ilvl w:val="0"/>
                <w:numId w:val="31"/>
              </w:numPr>
              <w:spacing w:after="0" w:line="240" w:lineRule="auto"/>
              <w:rPr>
                <w:rFonts w:eastAsia="Times New Roman" w:cs="Times New Roman"/>
                <w:bCs/>
                <w:sz w:val="20"/>
                <w:szCs w:val="20"/>
              </w:rPr>
            </w:pPr>
            <w:r w:rsidRPr="00D6649D">
              <w:rPr>
                <w:rFonts w:eastAsia="Times New Roman" w:cs="Times New Roman"/>
                <w:bCs/>
                <w:sz w:val="20"/>
                <w:szCs w:val="20"/>
              </w:rPr>
              <w:t xml:space="preserve">In order to support the measure, the provider needs to capture the fact that a transition is about to occur.  </w:t>
            </w:r>
          </w:p>
          <w:p w:rsidR="00D6649D" w:rsidRDefault="00D6649D" w:rsidP="002C6B7D">
            <w:pPr>
              <w:pStyle w:val="ListParagraph"/>
              <w:numPr>
                <w:ilvl w:val="0"/>
                <w:numId w:val="31"/>
              </w:numPr>
              <w:spacing w:after="0" w:line="240" w:lineRule="auto"/>
              <w:rPr>
                <w:rFonts w:eastAsia="Times New Roman" w:cs="Times New Roman"/>
                <w:bCs/>
                <w:sz w:val="20"/>
                <w:szCs w:val="20"/>
              </w:rPr>
            </w:pPr>
            <w:r>
              <w:rPr>
                <w:rFonts w:eastAsia="Times New Roman" w:cs="Times New Roman"/>
                <w:bCs/>
                <w:sz w:val="20"/>
                <w:szCs w:val="20"/>
              </w:rPr>
              <w:t>Part 1 of measure:</w:t>
            </w:r>
          </w:p>
          <w:p w:rsidR="00D6649D" w:rsidRDefault="00D6649D" w:rsidP="00D6649D">
            <w:pPr>
              <w:pStyle w:val="ListParagraph"/>
              <w:numPr>
                <w:ilvl w:val="1"/>
                <w:numId w:val="31"/>
              </w:numPr>
              <w:spacing w:after="0" w:line="240" w:lineRule="auto"/>
              <w:rPr>
                <w:rFonts w:eastAsia="Times New Roman" w:cs="Times New Roman"/>
                <w:bCs/>
                <w:sz w:val="20"/>
                <w:szCs w:val="20"/>
              </w:rPr>
            </w:pPr>
            <w:r>
              <w:rPr>
                <w:rFonts w:eastAsia="Times New Roman" w:cs="Times New Roman"/>
                <w:bCs/>
                <w:sz w:val="20"/>
                <w:szCs w:val="20"/>
              </w:rPr>
              <w:t>Lower threshold to 50% of transitions or referrals provided a summary of care record</w:t>
            </w:r>
          </w:p>
          <w:p w:rsidR="00D6649D" w:rsidRPr="00D6649D" w:rsidRDefault="00D6649D" w:rsidP="002C6B7D">
            <w:pPr>
              <w:pStyle w:val="ListParagraph"/>
              <w:numPr>
                <w:ilvl w:val="0"/>
                <w:numId w:val="31"/>
              </w:numPr>
              <w:spacing w:after="0" w:line="240" w:lineRule="auto"/>
              <w:rPr>
                <w:rFonts w:eastAsia="Times New Roman" w:cs="Times New Roman"/>
                <w:bCs/>
                <w:sz w:val="20"/>
                <w:szCs w:val="20"/>
              </w:rPr>
            </w:pPr>
            <w:r>
              <w:rPr>
                <w:rFonts w:cstheme="minorHAnsi"/>
              </w:rPr>
              <w:t>Part 2 of measure:</w:t>
            </w:r>
          </w:p>
          <w:p w:rsidR="002C6B7D" w:rsidRPr="00D6649D" w:rsidRDefault="00D6649D" w:rsidP="00D6649D">
            <w:pPr>
              <w:pStyle w:val="ListParagraph"/>
              <w:numPr>
                <w:ilvl w:val="1"/>
                <w:numId w:val="31"/>
              </w:numPr>
              <w:spacing w:after="0" w:line="240" w:lineRule="auto"/>
              <w:rPr>
                <w:rFonts w:eastAsia="Times New Roman" w:cs="Times New Roman"/>
                <w:bCs/>
                <w:sz w:val="20"/>
                <w:szCs w:val="20"/>
              </w:rPr>
            </w:pPr>
            <w:r w:rsidRPr="00D6649D">
              <w:rPr>
                <w:rFonts w:cstheme="minorHAnsi"/>
              </w:rPr>
              <w:t xml:space="preserve"> Recommend removing the cross-vendor requirement</w:t>
            </w:r>
            <w:r w:rsidRPr="00D6649D">
              <w:rPr>
                <w:rFonts w:eastAsia="Times New Roman" w:cs="Times New Roman"/>
                <w:bCs/>
                <w:sz w:val="20"/>
                <w:szCs w:val="20"/>
              </w:rPr>
              <w:t>.</w:t>
            </w:r>
            <w:r>
              <w:rPr>
                <w:rFonts w:eastAsia="Times New Roman" w:cs="Times New Roman"/>
                <w:bCs/>
                <w:sz w:val="20"/>
                <w:szCs w:val="20"/>
              </w:rPr>
              <w:t xml:space="preserve"> </w:t>
            </w:r>
            <w:r w:rsidR="00F46854" w:rsidRPr="00D6649D">
              <w:rPr>
                <w:rFonts w:eastAsia="Times New Roman" w:cs="Times New Roman"/>
                <w:bCs/>
                <w:sz w:val="20"/>
                <w:szCs w:val="20"/>
              </w:rPr>
              <w:t>W</w:t>
            </w:r>
            <w:r w:rsidR="002C6B7D" w:rsidRPr="00D6649D">
              <w:rPr>
                <w:rFonts w:eastAsia="Times New Roman" w:cs="Times New Roman"/>
                <w:bCs/>
                <w:sz w:val="20"/>
                <w:szCs w:val="20"/>
              </w:rPr>
              <w:t xml:space="preserve">hile it is essential that the exchange of information comply with prescribed standards, </w:t>
            </w:r>
            <w:r w:rsidR="003E4E92" w:rsidRPr="00D6649D">
              <w:rPr>
                <w:rFonts w:eastAsia="Times New Roman" w:cs="Times New Roman"/>
                <w:bCs/>
                <w:sz w:val="20"/>
                <w:szCs w:val="20"/>
              </w:rPr>
              <w:t>requiring that the transmission occur between different vendor systems may cause unintended consequences in some geographic regions where a few vendors may have a dominant market share</w:t>
            </w:r>
            <w:r w:rsidR="002C6B7D" w:rsidRPr="00D6649D">
              <w:rPr>
                <w:rFonts w:eastAsia="Times New Roman" w:cs="Times New Roman"/>
                <w:bCs/>
                <w:sz w:val="20"/>
                <w:szCs w:val="20"/>
              </w:rPr>
              <w:t xml:space="preserve">. </w:t>
            </w:r>
          </w:p>
          <w:p w:rsidR="00F46854" w:rsidRDefault="00D6649D" w:rsidP="00D6649D">
            <w:pPr>
              <w:pStyle w:val="ListParagraph"/>
              <w:numPr>
                <w:ilvl w:val="0"/>
                <w:numId w:val="41"/>
              </w:numPr>
              <w:spacing w:after="0" w:line="240" w:lineRule="auto"/>
              <w:rPr>
                <w:rFonts w:eastAsia="Times New Roman" w:cs="Times New Roman"/>
                <w:b/>
                <w:bCs/>
                <w:sz w:val="20"/>
                <w:szCs w:val="20"/>
              </w:rPr>
            </w:pPr>
            <w:r>
              <w:t xml:space="preserve">Query </w:t>
            </w:r>
            <w:r w:rsidR="00F46854" w:rsidRPr="00F46854">
              <w:t>should count in the numerator but the credit needs to go to the provider whose system is being queried, not to the provider who initiated the query.  This would only apply to "planned transitions".</w:t>
            </w:r>
            <w:r w:rsidR="00F46854">
              <w:t xml:space="preserve">  </w:t>
            </w:r>
          </w:p>
        </w:tc>
      </w:tr>
    </w:tbl>
    <w:p w:rsidR="0008415F" w:rsidRPr="00D7704E" w:rsidRDefault="0008415F">
      <w:pPr>
        <w:rPr>
          <w:sz w:val="20"/>
          <w:szCs w:val="20"/>
        </w:rPr>
      </w:pPr>
    </w:p>
    <w:p w:rsidR="00FA0235" w:rsidRDefault="00FA0235">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3960"/>
        <w:gridCol w:w="3240"/>
        <w:gridCol w:w="5940"/>
        <w:gridCol w:w="90"/>
      </w:tblGrid>
      <w:tr w:rsidR="00F07039" w:rsidRPr="00D7704E" w:rsidTr="00A06A41">
        <w:trPr>
          <w:trHeight w:val="630"/>
        </w:trPr>
        <w:tc>
          <w:tcPr>
            <w:tcW w:w="1095" w:type="dxa"/>
            <w:shd w:val="clear" w:color="auto" w:fill="286AA0"/>
          </w:tcPr>
          <w:p w:rsidR="00F07039" w:rsidRPr="00D7704E" w:rsidRDefault="00F0703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960" w:type="dxa"/>
            <w:shd w:val="clear" w:color="auto" w:fill="286AA0"/>
          </w:tcPr>
          <w:p w:rsidR="00F07039" w:rsidRPr="00D7704E" w:rsidRDefault="00F0703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F07039" w:rsidRPr="00D7704E" w:rsidRDefault="00F0703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gridSpan w:val="2"/>
            <w:shd w:val="clear" w:color="auto" w:fill="286AA0"/>
          </w:tcPr>
          <w:p w:rsidR="00F07039" w:rsidRPr="00D7704E" w:rsidRDefault="00F0703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07039" w:rsidRPr="00D7704E" w:rsidTr="00A06A41">
        <w:trPr>
          <w:trHeight w:val="890"/>
        </w:trPr>
        <w:tc>
          <w:tcPr>
            <w:tcW w:w="1095" w:type="dxa"/>
            <w:vMerge w:val="restart"/>
            <w:shd w:val="clear" w:color="auto" w:fill="auto"/>
          </w:tcPr>
          <w:p w:rsidR="00F07039" w:rsidRPr="00D7704E" w:rsidRDefault="00F07039" w:rsidP="009D085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Care Coordination</w:t>
            </w:r>
          </w:p>
          <w:p w:rsidR="00F07039" w:rsidRPr="00D7704E" w:rsidRDefault="00F07039" w:rsidP="009D0858">
            <w:pPr>
              <w:spacing w:after="0" w:line="240" w:lineRule="auto"/>
              <w:jc w:val="center"/>
              <w:rPr>
                <w:rFonts w:eastAsia="Times New Roman" w:cs="Times New Roman"/>
                <w:b/>
                <w:bCs/>
                <w:sz w:val="20"/>
                <w:szCs w:val="20"/>
              </w:rPr>
            </w:pPr>
          </w:p>
        </w:tc>
        <w:tc>
          <w:tcPr>
            <w:tcW w:w="3960" w:type="dxa"/>
            <w:tcBorders>
              <w:bottom w:val="single" w:sz="12" w:space="0" w:color="4F81BD" w:themeColor="accent1"/>
            </w:tcBorders>
            <w:shd w:val="clear" w:color="auto" w:fill="auto"/>
            <w:noWrap/>
          </w:tcPr>
          <w:p w:rsidR="00F07039" w:rsidRPr="00D7704E" w:rsidRDefault="00F07039" w:rsidP="009D0858">
            <w:pPr>
              <w:spacing w:after="0" w:line="240" w:lineRule="auto"/>
              <w:rPr>
                <w:rFonts w:eastAsia="Times New Roman" w:cs="Times New Roman"/>
                <w:b/>
                <w:bCs/>
                <w:sz w:val="20"/>
                <w:szCs w:val="20"/>
              </w:rPr>
            </w:pPr>
            <w:r w:rsidRPr="00D7704E">
              <w:rPr>
                <w:rFonts w:eastAsia="Times New Roman"/>
                <w:b/>
                <w:bCs/>
                <w:sz w:val="20"/>
                <w:szCs w:val="20"/>
              </w:rPr>
              <w:t>N/A</w:t>
            </w:r>
          </w:p>
        </w:tc>
        <w:tc>
          <w:tcPr>
            <w:tcW w:w="3240" w:type="dxa"/>
            <w:tcBorders>
              <w:bottom w:val="single" w:sz="12" w:space="0" w:color="4F81BD" w:themeColor="accent1"/>
            </w:tcBorders>
            <w:shd w:val="clear" w:color="auto" w:fill="auto"/>
            <w:noWrap/>
          </w:tcPr>
          <w:p w:rsidR="00F07039" w:rsidRPr="00D7704E" w:rsidRDefault="00F07039" w:rsidP="009D0858">
            <w:pPr>
              <w:rPr>
                <w:rFonts w:eastAsia="Times New Roman" w:cs="Times New Roman"/>
                <w:b/>
                <w:bCs/>
                <w:sz w:val="20"/>
                <w:szCs w:val="20"/>
              </w:rPr>
            </w:pPr>
            <w:r w:rsidRPr="00D7704E">
              <w:rPr>
                <w:rFonts w:eastAsia="Times New Roman"/>
                <w:bCs/>
                <w:sz w:val="20"/>
                <w:szCs w:val="20"/>
              </w:rPr>
              <w:t>Record health care team members (including at a minimum PCP, if available) for more than 10% of all patients seen during the reporting period; this information can be unstructured</w:t>
            </w:r>
          </w:p>
        </w:tc>
        <w:tc>
          <w:tcPr>
            <w:tcW w:w="6030" w:type="dxa"/>
            <w:gridSpan w:val="2"/>
            <w:tcBorders>
              <w:bottom w:val="single" w:sz="12" w:space="0" w:color="4F81BD" w:themeColor="accent1"/>
            </w:tcBorders>
            <w:shd w:val="clear" w:color="auto" w:fill="auto"/>
            <w:noWrap/>
          </w:tcPr>
          <w:p w:rsidR="00F07039" w:rsidRPr="00D7704E" w:rsidRDefault="00F07039" w:rsidP="00F07039">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
                <w:bCs/>
                <w:sz w:val="20"/>
                <w:szCs w:val="20"/>
                <w:u w:val="single"/>
              </w:rPr>
              <w:t>not</w:t>
            </w:r>
            <w:r w:rsidRPr="00D7704E">
              <w:rPr>
                <w:rFonts w:eastAsia="Times New Roman" w:cs="Times New Roman"/>
                <w:b/>
                <w:bCs/>
                <w:sz w:val="20"/>
                <w:szCs w:val="20"/>
              </w:rPr>
              <w:t xml:space="preserve"> included – asked for comment </w:t>
            </w:r>
          </w:p>
          <w:p w:rsidR="00F07039" w:rsidRPr="00D7704E" w:rsidRDefault="00F07039" w:rsidP="009D0858">
            <w:pPr>
              <w:spacing w:after="0" w:line="240" w:lineRule="auto"/>
              <w:rPr>
                <w:rFonts w:eastAsia="Times New Roman" w:cs="Times New Roman"/>
                <w:bCs/>
                <w:sz w:val="20"/>
                <w:szCs w:val="20"/>
              </w:rPr>
            </w:pPr>
            <w:r w:rsidRPr="00D7704E">
              <w:rPr>
                <w:rFonts w:eastAsia="Times New Roman" w:cs="Times New Roman"/>
                <w:b/>
                <w:bCs/>
                <w:sz w:val="20"/>
                <w:szCs w:val="20"/>
              </w:rPr>
              <w:t>Objective/Measure:</w:t>
            </w:r>
            <w:r w:rsidRPr="00D7704E">
              <w:rPr>
                <w:rFonts w:eastAsia="Times New Roman" w:cs="Times New Roman"/>
                <w:bCs/>
                <w:sz w:val="20"/>
                <w:szCs w:val="20"/>
              </w:rPr>
              <w:t xml:space="preserve"> Record health care team members (including at a minimum PCP, if available) for more than 10 percent of all patients seen during the reporting period; this information can be unstructured. We believe that this requirement is better incorporated with other objectives that require summary of care documents and is not necessary as a standalone objective.</w:t>
            </w:r>
          </w:p>
        </w:tc>
      </w:tr>
      <w:tr w:rsidR="00F07039" w:rsidRPr="00D7704E" w:rsidTr="00A06A41">
        <w:trPr>
          <w:trHeight w:val="303"/>
        </w:trPr>
        <w:tc>
          <w:tcPr>
            <w:tcW w:w="1095" w:type="dxa"/>
            <w:vMerge/>
            <w:vAlign w:val="center"/>
          </w:tcPr>
          <w:p w:rsidR="00F07039" w:rsidRPr="00D7704E" w:rsidRDefault="00F07039" w:rsidP="009D0858">
            <w:pPr>
              <w:spacing w:after="0" w:line="240" w:lineRule="auto"/>
              <w:rPr>
                <w:rFonts w:eastAsia="Times New Roman" w:cs="Times New Roman"/>
                <w:b/>
                <w:bCs/>
                <w:sz w:val="20"/>
                <w:szCs w:val="20"/>
              </w:rPr>
            </w:pPr>
          </w:p>
        </w:tc>
        <w:tc>
          <w:tcPr>
            <w:tcW w:w="13230" w:type="dxa"/>
            <w:gridSpan w:val="4"/>
            <w:tcBorders>
              <w:top w:val="single" w:sz="12" w:space="0" w:color="4F81BD" w:themeColor="accent1"/>
            </w:tcBorders>
            <w:shd w:val="clear" w:color="000000" w:fill="FFFFFF"/>
          </w:tcPr>
          <w:p w:rsidR="00F07039" w:rsidRPr="00D7704E" w:rsidRDefault="007F2572" w:rsidP="009D0858">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Comments</w:t>
            </w:r>
            <w:r w:rsidR="00CD2396">
              <w:rPr>
                <w:rFonts w:eastAsia="Times New Roman" w:cs="Times New Roman"/>
                <w:b/>
                <w:bCs/>
                <w:color w:val="365F91" w:themeColor="accent1" w:themeShade="BF"/>
                <w:sz w:val="20"/>
                <w:szCs w:val="20"/>
              </w:rPr>
              <w:t xml:space="preserve">: </w:t>
            </w:r>
            <w:r w:rsidR="00CD2396" w:rsidRPr="00D7704E">
              <w:rPr>
                <w:rFonts w:eastAsia="Times New Roman" w:cs="Times New Roman"/>
                <w:bCs/>
                <w:sz w:val="20"/>
                <w:szCs w:val="20"/>
              </w:rPr>
              <w:t>Okay to leave as part of the summary of care document.</w:t>
            </w:r>
          </w:p>
        </w:tc>
      </w:tr>
      <w:tr w:rsidR="0008415F" w:rsidRPr="00D7704E" w:rsidTr="00A06A41">
        <w:trPr>
          <w:gridAfter w:val="1"/>
          <w:wAfter w:w="90" w:type="dxa"/>
          <w:trHeight w:val="630"/>
        </w:trPr>
        <w:tc>
          <w:tcPr>
            <w:tcW w:w="1095"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96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94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08415F" w:rsidRPr="00D7704E" w:rsidTr="00A06A41">
        <w:trPr>
          <w:gridAfter w:val="1"/>
          <w:wAfter w:w="90" w:type="dxa"/>
          <w:trHeight w:val="890"/>
        </w:trPr>
        <w:tc>
          <w:tcPr>
            <w:tcW w:w="1095" w:type="dxa"/>
            <w:vMerge w:val="restart"/>
            <w:shd w:val="clear" w:color="auto" w:fill="auto"/>
          </w:tcPr>
          <w:p w:rsidR="0008415F" w:rsidRPr="00D7704E" w:rsidRDefault="0008415F"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Care Coordination</w:t>
            </w:r>
          </w:p>
          <w:p w:rsidR="0008415F" w:rsidRPr="00D7704E" w:rsidRDefault="0008415F" w:rsidP="00B15945">
            <w:pPr>
              <w:spacing w:after="0" w:line="240" w:lineRule="auto"/>
              <w:jc w:val="center"/>
              <w:rPr>
                <w:rFonts w:eastAsia="Times New Roman" w:cs="Times New Roman"/>
                <w:b/>
                <w:bCs/>
                <w:sz w:val="20"/>
                <w:szCs w:val="20"/>
              </w:rPr>
            </w:pPr>
          </w:p>
        </w:tc>
        <w:tc>
          <w:tcPr>
            <w:tcW w:w="3960" w:type="dxa"/>
            <w:tcBorders>
              <w:bottom w:val="single" w:sz="12" w:space="0" w:color="4F81BD" w:themeColor="accent1"/>
            </w:tcBorders>
            <w:shd w:val="clear" w:color="auto" w:fill="auto"/>
            <w:noWrap/>
          </w:tcPr>
          <w:p w:rsidR="0008415F" w:rsidRPr="00D7704E" w:rsidRDefault="00FB3D0A" w:rsidP="00B15945">
            <w:pPr>
              <w:spacing w:after="0" w:line="240" w:lineRule="auto"/>
              <w:rPr>
                <w:rFonts w:eastAsia="Times New Roman" w:cs="Times New Roman"/>
                <w:b/>
                <w:bCs/>
                <w:sz w:val="20"/>
                <w:szCs w:val="20"/>
              </w:rPr>
            </w:pPr>
            <w:r w:rsidRPr="00D7704E">
              <w:rPr>
                <w:rFonts w:eastAsia="Times New Roman"/>
                <w:b/>
                <w:bCs/>
                <w:sz w:val="20"/>
                <w:szCs w:val="20"/>
              </w:rPr>
              <w:t>N/A</w:t>
            </w:r>
          </w:p>
        </w:tc>
        <w:tc>
          <w:tcPr>
            <w:tcW w:w="3240" w:type="dxa"/>
            <w:tcBorders>
              <w:bottom w:val="single" w:sz="12" w:space="0" w:color="4F81BD" w:themeColor="accent1"/>
            </w:tcBorders>
            <w:shd w:val="clear" w:color="auto" w:fill="auto"/>
            <w:noWrap/>
          </w:tcPr>
          <w:p w:rsidR="0008415F" w:rsidRPr="00D7704E" w:rsidRDefault="00FB3D0A" w:rsidP="00B15945">
            <w:pPr>
              <w:rPr>
                <w:rFonts w:eastAsia="Times New Roman"/>
                <w:bCs/>
                <w:sz w:val="20"/>
                <w:szCs w:val="20"/>
              </w:rPr>
            </w:pPr>
            <w:r w:rsidRPr="00D7704E">
              <w:rPr>
                <w:rFonts w:eastAsia="Times New Roman"/>
                <w:b/>
                <w:bCs/>
                <w:sz w:val="20"/>
                <w:szCs w:val="20"/>
              </w:rPr>
              <w:t>EP:</w:t>
            </w:r>
            <w:r w:rsidRPr="00D7704E">
              <w:rPr>
                <w:rFonts w:eastAsia="Times New Roman"/>
                <w:bCs/>
                <w:sz w:val="20"/>
                <w:szCs w:val="20"/>
              </w:rPr>
              <w:t xml:space="preserve"> Send a care summary (including care plan and care team if available) electronically to the receiving provider for at least 25 patients undergoing a transition of care</w:t>
            </w:r>
          </w:p>
          <w:p w:rsidR="00FB3D0A" w:rsidRPr="00D7704E" w:rsidRDefault="00FB3D0A" w:rsidP="00B15945">
            <w:pPr>
              <w:rPr>
                <w:rFonts w:eastAsia="Times New Roman" w:cs="Times New Roman"/>
                <w:b/>
                <w:bCs/>
                <w:sz w:val="20"/>
                <w:szCs w:val="20"/>
              </w:rPr>
            </w:pPr>
            <w:r w:rsidRPr="00D7704E">
              <w:rPr>
                <w:rFonts w:eastAsia="Times New Roman"/>
                <w:b/>
                <w:bCs/>
                <w:sz w:val="20"/>
                <w:szCs w:val="20"/>
              </w:rPr>
              <w:t xml:space="preserve">EH: </w:t>
            </w:r>
            <w:r w:rsidRPr="00D7704E">
              <w:rPr>
                <w:rFonts w:eastAsia="Times New Roman"/>
                <w:bCs/>
                <w:sz w:val="20"/>
                <w:szCs w:val="20"/>
              </w:rPr>
              <w:t>Send a care summary (including care plan and care team if available) electronically to the receiving provider or post-acute care facility for more than 10% of all discharges</w:t>
            </w:r>
          </w:p>
        </w:tc>
        <w:tc>
          <w:tcPr>
            <w:tcW w:w="5940" w:type="dxa"/>
            <w:tcBorders>
              <w:bottom w:val="single" w:sz="12" w:space="0" w:color="4F81BD" w:themeColor="accent1"/>
            </w:tcBorders>
            <w:shd w:val="clear" w:color="auto" w:fill="auto"/>
            <w:noWrap/>
          </w:tcPr>
          <w:p w:rsidR="00FB3D0A" w:rsidRPr="00D7704E" w:rsidRDefault="00FB3D0A" w:rsidP="00FB3D0A">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
                <w:bCs/>
                <w:sz w:val="20"/>
                <w:szCs w:val="20"/>
                <w:u w:val="single"/>
              </w:rPr>
              <w:t>not</w:t>
            </w:r>
            <w:r w:rsidRPr="00D7704E">
              <w:rPr>
                <w:rFonts w:eastAsia="Times New Roman" w:cs="Times New Roman"/>
                <w:b/>
                <w:bCs/>
                <w:sz w:val="20"/>
                <w:szCs w:val="20"/>
              </w:rPr>
              <w:t xml:space="preserve"> included – asked for comment </w:t>
            </w:r>
          </w:p>
          <w:p w:rsidR="0008415F" w:rsidRPr="00D7704E" w:rsidRDefault="00FB3D0A" w:rsidP="00B15945">
            <w:pPr>
              <w:spacing w:after="0" w:line="240" w:lineRule="auto"/>
              <w:rPr>
                <w:rFonts w:eastAsia="Times New Roman" w:cs="Times New Roman"/>
                <w:bCs/>
                <w:sz w:val="20"/>
                <w:szCs w:val="20"/>
              </w:rPr>
            </w:pPr>
            <w:r w:rsidRPr="00D7704E">
              <w:rPr>
                <w:rFonts w:eastAsia="Times New Roman" w:cs="Times New Roman"/>
                <w:b/>
                <w:bCs/>
                <w:sz w:val="20"/>
                <w:szCs w:val="20"/>
              </w:rPr>
              <w:t>Objective/Measure:</w:t>
            </w:r>
            <w:r w:rsidRPr="00D7704E">
              <w:rPr>
                <w:rFonts w:eastAsia="Times New Roman" w:cs="Times New Roman"/>
                <w:bCs/>
                <w:sz w:val="20"/>
                <w:szCs w:val="20"/>
              </w:rPr>
              <w:t xml:space="preserve"> Record care plan goals and patient instructions in the care plan for more than 10 percent of patients seen during the reporting period. We believe that this requirement is better incorporated with other objectives that require summary of care documents and is not necessary as a standalone objective.</w:t>
            </w:r>
          </w:p>
        </w:tc>
      </w:tr>
      <w:tr w:rsidR="0008415F" w:rsidRPr="00D7704E" w:rsidTr="00A06A41">
        <w:trPr>
          <w:gridAfter w:val="1"/>
          <w:wAfter w:w="90" w:type="dxa"/>
          <w:trHeight w:val="303"/>
        </w:trPr>
        <w:tc>
          <w:tcPr>
            <w:tcW w:w="1095" w:type="dxa"/>
            <w:vMerge/>
            <w:vAlign w:val="center"/>
          </w:tcPr>
          <w:p w:rsidR="0008415F" w:rsidRPr="00D7704E" w:rsidRDefault="0008415F" w:rsidP="00B15945">
            <w:pPr>
              <w:spacing w:after="0" w:line="240" w:lineRule="auto"/>
              <w:rPr>
                <w:rFonts w:eastAsia="Times New Roman" w:cs="Times New Roman"/>
                <w:b/>
                <w:bCs/>
                <w:sz w:val="20"/>
                <w:szCs w:val="20"/>
              </w:rPr>
            </w:pPr>
          </w:p>
        </w:tc>
        <w:tc>
          <w:tcPr>
            <w:tcW w:w="13140" w:type="dxa"/>
            <w:gridSpan w:val="3"/>
            <w:tcBorders>
              <w:top w:val="single" w:sz="12" w:space="0" w:color="4F81BD" w:themeColor="accent1"/>
            </w:tcBorders>
            <w:shd w:val="clear" w:color="000000" w:fill="FFFFFF"/>
          </w:tcPr>
          <w:p w:rsidR="0008415F" w:rsidRPr="00D7704E" w:rsidRDefault="007F2572" w:rsidP="00B15945">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Comments</w:t>
            </w:r>
            <w:r w:rsidR="00CD2396">
              <w:rPr>
                <w:rFonts w:eastAsia="Times New Roman" w:cs="Times New Roman"/>
                <w:b/>
                <w:bCs/>
                <w:color w:val="365F91" w:themeColor="accent1" w:themeShade="BF"/>
                <w:sz w:val="20"/>
                <w:szCs w:val="20"/>
              </w:rPr>
              <w:t xml:space="preserve">: </w:t>
            </w:r>
            <w:r w:rsidR="00CD2396" w:rsidRPr="00D7704E">
              <w:rPr>
                <w:rFonts w:eastAsia="Times New Roman" w:cs="Times New Roman"/>
                <w:bCs/>
                <w:sz w:val="20"/>
                <w:szCs w:val="20"/>
              </w:rPr>
              <w:t>Okay to leave as part of the summary of care document.</w:t>
            </w:r>
          </w:p>
        </w:tc>
      </w:tr>
    </w:tbl>
    <w:p w:rsidR="00A06A41" w:rsidRDefault="00A06A41">
      <w:r>
        <w:br w:type="page"/>
      </w:r>
    </w:p>
    <w:tbl>
      <w:tblPr>
        <w:tblW w:w="1441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3150"/>
        <w:gridCol w:w="270"/>
        <w:gridCol w:w="2520"/>
        <w:gridCol w:w="450"/>
        <w:gridCol w:w="6750"/>
        <w:gridCol w:w="180"/>
      </w:tblGrid>
      <w:tr w:rsidR="00F00872" w:rsidRPr="00D7704E" w:rsidTr="00A06A41">
        <w:trPr>
          <w:gridAfter w:val="1"/>
          <w:wAfter w:w="180" w:type="dxa"/>
          <w:trHeight w:val="420"/>
        </w:trPr>
        <w:tc>
          <w:tcPr>
            <w:tcW w:w="1095"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420" w:type="dxa"/>
            <w:gridSpan w:val="2"/>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970" w:type="dxa"/>
            <w:gridSpan w:val="2"/>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750"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00872" w:rsidRPr="00D7704E" w:rsidTr="00A06A41">
        <w:trPr>
          <w:gridAfter w:val="1"/>
          <w:wAfter w:w="180" w:type="dxa"/>
          <w:trHeight w:val="1070"/>
        </w:trPr>
        <w:tc>
          <w:tcPr>
            <w:tcW w:w="1095" w:type="dxa"/>
            <w:vMerge w:val="restart"/>
            <w:shd w:val="clear" w:color="auto" w:fill="auto"/>
          </w:tcPr>
          <w:p w:rsidR="00F00872" w:rsidRPr="00D7704E" w:rsidRDefault="00F00872" w:rsidP="00F00872">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Improve population and public health </w:t>
            </w:r>
          </w:p>
          <w:p w:rsidR="00F00872" w:rsidRPr="00D7704E" w:rsidRDefault="00F00872" w:rsidP="00B15945">
            <w:pPr>
              <w:spacing w:after="0" w:line="240" w:lineRule="auto"/>
              <w:jc w:val="center"/>
              <w:rPr>
                <w:rFonts w:eastAsia="Times New Roman" w:cs="Times New Roman"/>
                <w:b/>
                <w:bCs/>
                <w:sz w:val="20"/>
                <w:szCs w:val="20"/>
              </w:rPr>
            </w:pPr>
          </w:p>
        </w:tc>
        <w:tc>
          <w:tcPr>
            <w:tcW w:w="3420" w:type="dxa"/>
            <w:gridSpan w:val="2"/>
            <w:tcBorders>
              <w:bottom w:val="single" w:sz="12" w:space="0" w:color="4F81BD" w:themeColor="accent1"/>
            </w:tcBorders>
            <w:shd w:val="clear" w:color="auto" w:fill="auto"/>
            <w:noWrap/>
          </w:tcPr>
          <w:p w:rsidR="00F00872" w:rsidRPr="00D7704E" w:rsidRDefault="00716580" w:rsidP="00F00872">
            <w:pPr>
              <w:spacing w:after="0" w:line="240" w:lineRule="auto"/>
              <w:rPr>
                <w:rFonts w:eastAsia="Times New Roman" w:cs="Times New Roman"/>
                <w:bCs/>
                <w:sz w:val="20"/>
                <w:szCs w:val="20"/>
              </w:rPr>
            </w:pPr>
            <w:r w:rsidRPr="00D7704E">
              <w:rPr>
                <w:rFonts w:eastAsia="Times New Roman"/>
                <w:b/>
                <w:bCs/>
                <w:sz w:val="20"/>
                <w:szCs w:val="20"/>
              </w:rPr>
              <w:t xml:space="preserve">MENU: </w:t>
            </w:r>
            <w:r w:rsidRPr="00D7704E">
              <w:rPr>
                <w:rFonts w:eastAsia="Times New Roman"/>
                <w:bCs/>
                <w:sz w:val="20"/>
                <w:szCs w:val="20"/>
              </w:rPr>
              <w:t>Perform at least one test of the capability to submit electronic data to immunization registries or Immunization Information systems and actual submission in accordance with applicable law and practice</w:t>
            </w:r>
          </w:p>
        </w:tc>
        <w:tc>
          <w:tcPr>
            <w:tcW w:w="2970" w:type="dxa"/>
            <w:gridSpan w:val="2"/>
            <w:tcBorders>
              <w:bottom w:val="single" w:sz="12" w:space="0" w:color="4F81BD" w:themeColor="accent1"/>
            </w:tcBorders>
            <w:shd w:val="clear" w:color="auto" w:fill="auto"/>
            <w:noWrap/>
          </w:tcPr>
          <w:p w:rsidR="00F00872" w:rsidRPr="00D7704E" w:rsidRDefault="00716580" w:rsidP="00F00872">
            <w:pPr>
              <w:rPr>
                <w:rFonts w:eastAsia="Times New Roman" w:cs="Times New Roman"/>
                <w:b/>
                <w:bCs/>
                <w:sz w:val="20"/>
                <w:szCs w:val="20"/>
              </w:rPr>
            </w:pPr>
            <w:r w:rsidRPr="00D7704E">
              <w:rPr>
                <w:rFonts w:eastAsia="Times New Roman"/>
                <w:bCs/>
                <w:sz w:val="20"/>
                <w:szCs w:val="20"/>
              </w:rPr>
              <w:t>Attest to at least one submission of data in accordance with applicable law and practice</w:t>
            </w:r>
          </w:p>
        </w:tc>
        <w:tc>
          <w:tcPr>
            <w:tcW w:w="6750" w:type="dxa"/>
            <w:tcBorders>
              <w:bottom w:val="single" w:sz="12" w:space="0" w:color="4F81BD" w:themeColor="accent1"/>
            </w:tcBorders>
            <w:shd w:val="clear" w:color="auto" w:fill="auto"/>
            <w:noWrap/>
          </w:tcPr>
          <w:p w:rsidR="00716580"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Objective:</w:t>
            </w:r>
            <w:r w:rsidRPr="00D7704E">
              <w:rPr>
                <w:rFonts w:eastAsia="Times New Roman" w:cs="Times New Roman"/>
                <w:bCs/>
                <w:sz w:val="20"/>
                <w:szCs w:val="20"/>
              </w:rPr>
              <w:t xml:space="preserve"> Capability to submit electronic data to immunization registries or immunization information systems except where prohibited, and in accordance with applicable law and practice</w:t>
            </w:r>
          </w:p>
          <w:p w:rsidR="00F00872"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Successful ongoing submission of electronic immunization data from Certified EHR Technology to an immunization registry or immunization information system for the entire EHR reporting period</w:t>
            </w:r>
          </w:p>
        </w:tc>
      </w:tr>
      <w:tr w:rsidR="00F00872" w:rsidRPr="00D7704E" w:rsidTr="00A06A41">
        <w:trPr>
          <w:gridAfter w:val="1"/>
          <w:wAfter w:w="180" w:type="dxa"/>
          <w:trHeight w:val="303"/>
        </w:trPr>
        <w:tc>
          <w:tcPr>
            <w:tcW w:w="1095" w:type="dxa"/>
            <w:vMerge/>
            <w:vAlign w:val="center"/>
          </w:tcPr>
          <w:p w:rsidR="00F00872" w:rsidRPr="00D7704E" w:rsidRDefault="00F00872" w:rsidP="00B15945">
            <w:pPr>
              <w:spacing w:after="0" w:line="240" w:lineRule="auto"/>
              <w:rPr>
                <w:rFonts w:eastAsia="Times New Roman" w:cs="Times New Roman"/>
                <w:b/>
                <w:bCs/>
                <w:sz w:val="20"/>
                <w:szCs w:val="20"/>
              </w:rPr>
            </w:pPr>
          </w:p>
        </w:tc>
        <w:tc>
          <w:tcPr>
            <w:tcW w:w="13140" w:type="dxa"/>
            <w:gridSpan w:val="5"/>
            <w:tcBorders>
              <w:top w:val="single" w:sz="12" w:space="0" w:color="4F81BD" w:themeColor="accent1"/>
            </w:tcBorders>
            <w:shd w:val="clear" w:color="000000" w:fill="FFFFFF"/>
          </w:tcPr>
          <w:p w:rsidR="00F00872" w:rsidRDefault="007F2572" w:rsidP="00B15945">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p>
          <w:p w:rsidR="0073390F" w:rsidRPr="00D021B8" w:rsidRDefault="0073390F" w:rsidP="0073390F">
            <w:pPr>
              <w:pStyle w:val="NoSpacing"/>
              <w:numPr>
                <w:ilvl w:val="0"/>
                <w:numId w:val="36"/>
              </w:numPr>
              <w:rPr>
                <w:sz w:val="20"/>
                <w:szCs w:val="20"/>
              </w:rPr>
            </w:pPr>
            <w:r w:rsidRPr="00D021B8">
              <w:rPr>
                <w:sz w:val="20"/>
                <w:szCs w:val="20"/>
              </w:rPr>
              <w:t xml:space="preserve">We understand that it may be challenging for public health departments to be fully prepared to accept electronic submissions of all three public health objectives by 2014. If HHS needs to maintain flexibility (e.g., retain menu option), we recommend that immunization registries be the highest priority. </w:t>
            </w:r>
          </w:p>
          <w:p w:rsidR="0073390F" w:rsidRPr="00DE000E" w:rsidRDefault="0073390F" w:rsidP="0073390F">
            <w:pPr>
              <w:pStyle w:val="NoSpacing"/>
              <w:numPr>
                <w:ilvl w:val="0"/>
                <w:numId w:val="36"/>
              </w:numPr>
              <w:rPr>
                <w:sz w:val="20"/>
                <w:szCs w:val="20"/>
              </w:rPr>
            </w:pPr>
            <w:r w:rsidRPr="00DE000E">
              <w:rPr>
                <w:bCs/>
                <w:sz w:val="20"/>
                <w:szCs w:val="20"/>
              </w:rPr>
              <w:t xml:space="preserve">Need clarification on "except where prohibited." Participation should be encouraged beyond transfers required by law, but we are concerned about unintended consequences (e.g., temptation to pass new laws prohibiting transfer to avoid penalizing local health providers). </w:t>
            </w:r>
          </w:p>
          <w:p w:rsidR="0073390F" w:rsidRPr="00D7704E" w:rsidRDefault="0073390F" w:rsidP="00B15945">
            <w:pPr>
              <w:spacing w:after="0" w:line="240" w:lineRule="auto"/>
              <w:rPr>
                <w:rFonts w:eastAsia="Times New Roman" w:cs="Times New Roman"/>
                <w:b/>
                <w:bCs/>
                <w:sz w:val="20"/>
                <w:szCs w:val="20"/>
              </w:rPr>
            </w:pPr>
          </w:p>
        </w:tc>
      </w:tr>
      <w:tr w:rsidR="00F00872" w:rsidRPr="00D7704E" w:rsidTr="00A06A41">
        <w:trPr>
          <w:trHeight w:val="630"/>
        </w:trPr>
        <w:tc>
          <w:tcPr>
            <w:tcW w:w="1095"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150"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790" w:type="dxa"/>
            <w:gridSpan w:val="2"/>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380" w:type="dxa"/>
            <w:gridSpan w:val="3"/>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00872" w:rsidRPr="00D7704E" w:rsidTr="00A06A41">
        <w:trPr>
          <w:trHeight w:val="1070"/>
        </w:trPr>
        <w:tc>
          <w:tcPr>
            <w:tcW w:w="1095" w:type="dxa"/>
            <w:vMerge w:val="restart"/>
            <w:shd w:val="clear" w:color="auto" w:fill="auto"/>
          </w:tcPr>
          <w:p w:rsidR="00F00872" w:rsidRPr="00D7704E" w:rsidRDefault="00F0087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Improve population and public health </w:t>
            </w:r>
          </w:p>
          <w:p w:rsidR="00F00872" w:rsidRPr="00D7704E" w:rsidRDefault="00F00872" w:rsidP="00B15945">
            <w:pPr>
              <w:spacing w:after="0" w:line="240" w:lineRule="auto"/>
              <w:jc w:val="center"/>
              <w:rPr>
                <w:rFonts w:eastAsia="Times New Roman" w:cs="Times New Roman"/>
                <w:b/>
                <w:bCs/>
                <w:sz w:val="20"/>
                <w:szCs w:val="20"/>
              </w:rPr>
            </w:pPr>
          </w:p>
        </w:tc>
        <w:tc>
          <w:tcPr>
            <w:tcW w:w="3150" w:type="dxa"/>
            <w:tcBorders>
              <w:bottom w:val="single" w:sz="12" w:space="0" w:color="4F81BD" w:themeColor="accent1"/>
            </w:tcBorders>
            <w:shd w:val="clear" w:color="auto" w:fill="auto"/>
            <w:noWrap/>
          </w:tcPr>
          <w:p w:rsidR="00F00872" w:rsidRPr="00D7704E" w:rsidRDefault="00716580" w:rsidP="00B15945">
            <w:pPr>
              <w:spacing w:after="0" w:line="240" w:lineRule="auto"/>
              <w:rPr>
                <w:rFonts w:eastAsia="Times New Roman" w:cs="Times New Roman"/>
                <w:bCs/>
                <w:sz w:val="20"/>
                <w:szCs w:val="20"/>
              </w:rPr>
            </w:pPr>
            <w:r w:rsidRPr="00D7704E">
              <w:rPr>
                <w:rFonts w:eastAsia="Times New Roman"/>
                <w:bCs/>
                <w:sz w:val="20"/>
                <w:szCs w:val="20"/>
              </w:rPr>
              <w:t>Perform at least one test of the capability to submit electronic data on reportable lab results to public health agencies and actual submission in accordance with applicable law and practice</w:t>
            </w:r>
          </w:p>
        </w:tc>
        <w:tc>
          <w:tcPr>
            <w:tcW w:w="2790" w:type="dxa"/>
            <w:gridSpan w:val="2"/>
            <w:tcBorders>
              <w:bottom w:val="single" w:sz="12" w:space="0" w:color="4F81BD" w:themeColor="accent1"/>
            </w:tcBorders>
            <w:shd w:val="clear" w:color="auto" w:fill="auto"/>
            <w:noWrap/>
          </w:tcPr>
          <w:p w:rsidR="00F00872" w:rsidRPr="00D7704E" w:rsidRDefault="00716580" w:rsidP="00F00872">
            <w:pPr>
              <w:rPr>
                <w:rFonts w:eastAsia="Times New Roman" w:cs="Times New Roman"/>
                <w:b/>
                <w:bCs/>
                <w:sz w:val="20"/>
                <w:szCs w:val="20"/>
              </w:rPr>
            </w:pPr>
            <w:r w:rsidRPr="00D7704E">
              <w:rPr>
                <w:rFonts w:eastAsia="Times New Roman"/>
                <w:b/>
                <w:bCs/>
                <w:sz w:val="20"/>
                <w:szCs w:val="20"/>
              </w:rPr>
              <w:t>EH:</w:t>
            </w:r>
            <w:r w:rsidRPr="00D7704E">
              <w:rPr>
                <w:rFonts w:eastAsia="Times New Roman"/>
                <w:bCs/>
                <w:sz w:val="20"/>
                <w:szCs w:val="20"/>
              </w:rPr>
              <w:t xml:space="preserve"> </w:t>
            </w:r>
            <w:r w:rsidR="00F00872" w:rsidRPr="00D7704E">
              <w:rPr>
                <w:rFonts w:eastAsia="Times New Roman"/>
                <w:bCs/>
                <w:sz w:val="20"/>
                <w:szCs w:val="20"/>
              </w:rPr>
              <w:t>Attest to submitting to at least one organization in accordance with applicable law and practice</w:t>
            </w:r>
          </w:p>
        </w:tc>
        <w:tc>
          <w:tcPr>
            <w:tcW w:w="7380" w:type="dxa"/>
            <w:gridSpan w:val="3"/>
            <w:tcBorders>
              <w:bottom w:val="single" w:sz="12" w:space="0" w:color="4F81BD" w:themeColor="accent1"/>
            </w:tcBorders>
            <w:shd w:val="clear" w:color="auto" w:fill="auto"/>
            <w:noWrap/>
          </w:tcPr>
          <w:p w:rsidR="00716580"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EH Objective:</w:t>
            </w:r>
            <w:r w:rsidRPr="00D7704E">
              <w:rPr>
                <w:rFonts w:eastAsia="Times New Roman" w:cs="Times New Roman"/>
                <w:bCs/>
                <w:sz w:val="20"/>
                <w:szCs w:val="20"/>
              </w:rPr>
              <w:t xml:space="preserve"> Capability to submit electronic reportable laboratory results to public health agencies, except where prohibited, and in accordance with applicable law and practice</w:t>
            </w:r>
          </w:p>
          <w:p w:rsidR="00F00872"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Successful ongoing submission of electronic reportable laboratory results from Certified EHR Technology to public health agencies for the entire EHR reporting period as authorized, and in accordance with applicable State law and practice.</w:t>
            </w:r>
          </w:p>
          <w:p w:rsidR="00F00872" w:rsidRPr="00D7704E" w:rsidRDefault="00F00872" w:rsidP="00B15945">
            <w:pPr>
              <w:spacing w:after="0" w:line="240" w:lineRule="auto"/>
              <w:rPr>
                <w:rFonts w:eastAsia="Times New Roman" w:cs="Times New Roman"/>
                <w:bCs/>
                <w:sz w:val="20"/>
                <w:szCs w:val="20"/>
              </w:rPr>
            </w:pPr>
          </w:p>
        </w:tc>
      </w:tr>
      <w:tr w:rsidR="00F00872" w:rsidRPr="00D7704E" w:rsidTr="00A06A41">
        <w:trPr>
          <w:trHeight w:val="303"/>
        </w:trPr>
        <w:tc>
          <w:tcPr>
            <w:tcW w:w="1095" w:type="dxa"/>
            <w:vMerge/>
            <w:vAlign w:val="center"/>
          </w:tcPr>
          <w:p w:rsidR="00F00872" w:rsidRPr="00D7704E" w:rsidRDefault="00F00872" w:rsidP="00B15945">
            <w:pPr>
              <w:spacing w:after="0" w:line="240" w:lineRule="auto"/>
              <w:rPr>
                <w:rFonts w:eastAsia="Times New Roman" w:cs="Times New Roman"/>
                <w:b/>
                <w:bCs/>
                <w:sz w:val="20"/>
                <w:szCs w:val="20"/>
              </w:rPr>
            </w:pPr>
          </w:p>
        </w:tc>
        <w:tc>
          <w:tcPr>
            <w:tcW w:w="13320" w:type="dxa"/>
            <w:gridSpan w:val="6"/>
            <w:tcBorders>
              <w:top w:val="single" w:sz="12" w:space="0" w:color="4F81BD" w:themeColor="accent1"/>
            </w:tcBorders>
            <w:shd w:val="clear" w:color="000000" w:fill="FFFFFF"/>
          </w:tcPr>
          <w:p w:rsidR="00F00872" w:rsidRDefault="007F2572" w:rsidP="00B15945">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r w:rsidR="0073390F">
              <w:rPr>
                <w:rFonts w:eastAsia="Times New Roman" w:cs="Times New Roman"/>
                <w:b/>
                <w:bCs/>
                <w:color w:val="365F91" w:themeColor="accent1" w:themeShade="BF"/>
                <w:sz w:val="20"/>
                <w:szCs w:val="20"/>
              </w:rPr>
              <w:t xml:space="preserve"> </w:t>
            </w:r>
          </w:p>
          <w:p w:rsidR="0073390F" w:rsidRPr="00D021B8" w:rsidRDefault="0073390F" w:rsidP="0073390F">
            <w:pPr>
              <w:pStyle w:val="NoSpacing"/>
              <w:numPr>
                <w:ilvl w:val="0"/>
                <w:numId w:val="36"/>
              </w:numPr>
              <w:rPr>
                <w:sz w:val="20"/>
                <w:szCs w:val="20"/>
              </w:rPr>
            </w:pPr>
            <w:r w:rsidRPr="00D021B8">
              <w:rPr>
                <w:sz w:val="20"/>
                <w:szCs w:val="20"/>
              </w:rPr>
              <w:t xml:space="preserve">We understand that it may be challenging for public health departments to be fully prepared to accept electronic submissions of all three public health objectives by 2014. If HHS needs to maintain flexibility (e.g., retain menu option), we recommend that immunization registries be the highest priority. </w:t>
            </w:r>
          </w:p>
          <w:p w:rsidR="0073390F" w:rsidRPr="00523F4D" w:rsidRDefault="0073390F" w:rsidP="0073390F">
            <w:pPr>
              <w:pStyle w:val="NoSpacing"/>
              <w:numPr>
                <w:ilvl w:val="0"/>
                <w:numId w:val="36"/>
              </w:numPr>
              <w:rPr>
                <w:sz w:val="20"/>
                <w:szCs w:val="20"/>
              </w:rPr>
            </w:pPr>
            <w:r w:rsidRPr="00DE000E">
              <w:rPr>
                <w:bCs/>
                <w:sz w:val="20"/>
                <w:szCs w:val="20"/>
              </w:rPr>
              <w:t xml:space="preserve">Need clarification on "except where prohibited." Participation should be encouraged beyond transfers required by law, but we are concerned about unintended consequences (e.g., temptation to pass new laws prohibiting transfer to avoid penalizing local health providers). </w:t>
            </w:r>
          </w:p>
          <w:p w:rsidR="00523F4D" w:rsidRPr="00DE000E" w:rsidRDefault="00523F4D" w:rsidP="0073390F">
            <w:pPr>
              <w:pStyle w:val="NoSpacing"/>
              <w:numPr>
                <w:ilvl w:val="0"/>
                <w:numId w:val="36"/>
              </w:numPr>
              <w:rPr>
                <w:sz w:val="20"/>
                <w:szCs w:val="20"/>
              </w:rPr>
            </w:pPr>
            <w:r>
              <w:rPr>
                <w:bCs/>
                <w:sz w:val="20"/>
                <w:szCs w:val="20"/>
              </w:rPr>
              <w:t>Need to define “successful ongoing submission”</w:t>
            </w:r>
          </w:p>
          <w:p w:rsidR="0073390F" w:rsidRPr="00D7704E" w:rsidRDefault="0073390F" w:rsidP="00B15945">
            <w:pPr>
              <w:spacing w:after="0" w:line="240" w:lineRule="auto"/>
              <w:rPr>
                <w:rFonts w:eastAsia="Times New Roman" w:cs="Times New Roman"/>
                <w:b/>
                <w:bCs/>
                <w:sz w:val="20"/>
                <w:szCs w:val="20"/>
              </w:rPr>
            </w:pPr>
          </w:p>
        </w:tc>
      </w:tr>
    </w:tbl>
    <w:p w:rsidR="00435368" w:rsidRDefault="00435368">
      <w:r>
        <w:br w:type="page"/>
      </w:r>
    </w:p>
    <w:tbl>
      <w:tblPr>
        <w:tblW w:w="1441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3150"/>
        <w:gridCol w:w="810"/>
        <w:gridCol w:w="1980"/>
        <w:gridCol w:w="1260"/>
        <w:gridCol w:w="6030"/>
        <w:gridCol w:w="90"/>
      </w:tblGrid>
      <w:tr w:rsidR="00F00872" w:rsidRPr="00D7704E" w:rsidTr="00174FA6">
        <w:trPr>
          <w:trHeight w:val="630"/>
        </w:trPr>
        <w:tc>
          <w:tcPr>
            <w:tcW w:w="1095"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150"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790" w:type="dxa"/>
            <w:gridSpan w:val="2"/>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380" w:type="dxa"/>
            <w:gridSpan w:val="3"/>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00872" w:rsidRPr="00D7704E" w:rsidTr="00174FA6">
        <w:trPr>
          <w:trHeight w:val="1070"/>
        </w:trPr>
        <w:tc>
          <w:tcPr>
            <w:tcW w:w="1095" w:type="dxa"/>
            <w:vMerge w:val="restart"/>
            <w:shd w:val="clear" w:color="auto" w:fill="auto"/>
          </w:tcPr>
          <w:p w:rsidR="00F00872" w:rsidRPr="00D7704E" w:rsidRDefault="00F0087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Improve population and public health </w:t>
            </w:r>
          </w:p>
          <w:p w:rsidR="00F00872" w:rsidRPr="00D7704E" w:rsidRDefault="00F00872" w:rsidP="00B15945">
            <w:pPr>
              <w:spacing w:after="0" w:line="240" w:lineRule="auto"/>
              <w:jc w:val="center"/>
              <w:rPr>
                <w:rFonts w:eastAsia="Times New Roman" w:cs="Times New Roman"/>
                <w:b/>
                <w:bCs/>
                <w:sz w:val="20"/>
                <w:szCs w:val="20"/>
              </w:rPr>
            </w:pPr>
          </w:p>
        </w:tc>
        <w:tc>
          <w:tcPr>
            <w:tcW w:w="3150" w:type="dxa"/>
            <w:tcBorders>
              <w:bottom w:val="single" w:sz="12" w:space="0" w:color="4F81BD" w:themeColor="accent1"/>
            </w:tcBorders>
            <w:shd w:val="clear" w:color="auto" w:fill="auto"/>
            <w:noWrap/>
          </w:tcPr>
          <w:p w:rsidR="00F00872" w:rsidRPr="00D7704E" w:rsidRDefault="00716580" w:rsidP="00B15945">
            <w:pPr>
              <w:spacing w:after="0" w:line="240" w:lineRule="auto"/>
              <w:rPr>
                <w:rFonts w:eastAsia="Times New Roman" w:cs="Times New Roman"/>
                <w:bCs/>
                <w:sz w:val="20"/>
                <w:szCs w:val="20"/>
              </w:rPr>
            </w:pPr>
            <w:r w:rsidRPr="00D7704E">
              <w:rPr>
                <w:rFonts w:eastAsia="Times New Roman"/>
                <w:bCs/>
                <w:sz w:val="20"/>
                <w:szCs w:val="20"/>
              </w:rPr>
              <w:t>Perform at least one test of the capability to submit electronic syndromic surveillance data to public health agencies and actual submission in accordance with applicable law and practice</w:t>
            </w:r>
          </w:p>
        </w:tc>
        <w:tc>
          <w:tcPr>
            <w:tcW w:w="2790" w:type="dxa"/>
            <w:gridSpan w:val="2"/>
            <w:tcBorders>
              <w:bottom w:val="single" w:sz="12" w:space="0" w:color="4F81BD" w:themeColor="accent1"/>
            </w:tcBorders>
            <w:shd w:val="clear" w:color="auto" w:fill="auto"/>
            <w:noWrap/>
          </w:tcPr>
          <w:p w:rsidR="00F00872" w:rsidRPr="00D7704E" w:rsidRDefault="00716580" w:rsidP="00F00872">
            <w:pPr>
              <w:rPr>
                <w:rFonts w:eastAsia="Times New Roman" w:cs="Times New Roman"/>
                <w:b/>
                <w:bCs/>
                <w:sz w:val="20"/>
                <w:szCs w:val="20"/>
              </w:rPr>
            </w:pPr>
            <w:r w:rsidRPr="00D7704E">
              <w:rPr>
                <w:rFonts w:eastAsia="Times New Roman"/>
                <w:bCs/>
                <w:sz w:val="20"/>
                <w:szCs w:val="20"/>
              </w:rPr>
              <w:t>Attest to at least one submission in accordance with applicable law and practice</w:t>
            </w:r>
          </w:p>
        </w:tc>
        <w:tc>
          <w:tcPr>
            <w:tcW w:w="7380" w:type="dxa"/>
            <w:gridSpan w:val="3"/>
            <w:tcBorders>
              <w:bottom w:val="single" w:sz="12" w:space="0" w:color="4F81BD" w:themeColor="accent1"/>
            </w:tcBorders>
            <w:shd w:val="clear" w:color="auto" w:fill="auto"/>
            <w:noWrap/>
          </w:tcPr>
          <w:p w:rsidR="00716580" w:rsidRPr="00D7704E" w:rsidRDefault="00716580" w:rsidP="00716580">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Capability to submit electronic syndromic surveillance data to public health agencies and actual submission except where prohibited and in accordance with applicable law and practice</w:t>
            </w:r>
          </w:p>
          <w:p w:rsidR="00F00872"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Menu Measure: </w:t>
            </w:r>
            <w:r w:rsidRPr="00D7704E">
              <w:rPr>
                <w:rFonts w:eastAsia="Times New Roman" w:cs="Times New Roman"/>
                <w:bCs/>
                <w:sz w:val="20"/>
                <w:szCs w:val="20"/>
              </w:rPr>
              <w:t>Successful ongoing submission of electronic syndromic surveillance data from Certified EHR Technology to a public health agency for the entire EHR reporting period</w:t>
            </w:r>
          </w:p>
          <w:p w:rsidR="00716580" w:rsidRPr="00D7704E" w:rsidRDefault="00716580" w:rsidP="00716580">
            <w:pPr>
              <w:spacing w:after="0" w:line="240" w:lineRule="auto"/>
              <w:rPr>
                <w:rFonts w:eastAsia="Times New Roman" w:cs="Times New Roman"/>
                <w:bCs/>
                <w:sz w:val="20"/>
                <w:szCs w:val="20"/>
              </w:rPr>
            </w:pPr>
            <w:r w:rsidRPr="00D7704E">
              <w:rPr>
                <w:rFonts w:eastAsia="Times New Roman" w:cs="Times New Roman"/>
                <w:bCs/>
                <w:sz w:val="20"/>
                <w:szCs w:val="20"/>
              </w:rPr>
              <w:t>Objective: Capability to submit electronic syndromic surveillance data to public health agencies and actual submission except where prohibited and in accordance with applicable law and practice</w:t>
            </w:r>
          </w:p>
          <w:p w:rsidR="00716580"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EH CORE Measure</w:t>
            </w:r>
            <w:r w:rsidRPr="00D7704E">
              <w:rPr>
                <w:rFonts w:eastAsia="Times New Roman" w:cs="Times New Roman"/>
                <w:bCs/>
                <w:sz w:val="20"/>
                <w:szCs w:val="20"/>
              </w:rPr>
              <w:t>: Successful ongoing submission of electronic syndromic surveillance data from Certified EHR Technology to a public health agency for the entire EHR reporting period</w:t>
            </w:r>
          </w:p>
        </w:tc>
      </w:tr>
      <w:tr w:rsidR="00F00872" w:rsidRPr="00D7704E" w:rsidTr="00174FA6">
        <w:trPr>
          <w:trHeight w:val="303"/>
        </w:trPr>
        <w:tc>
          <w:tcPr>
            <w:tcW w:w="1095" w:type="dxa"/>
            <w:vMerge/>
            <w:vAlign w:val="center"/>
          </w:tcPr>
          <w:p w:rsidR="00F00872" w:rsidRPr="00D7704E" w:rsidRDefault="00F00872" w:rsidP="00B15945">
            <w:pPr>
              <w:spacing w:after="0" w:line="240" w:lineRule="auto"/>
              <w:rPr>
                <w:rFonts w:eastAsia="Times New Roman" w:cs="Times New Roman"/>
                <w:b/>
                <w:bCs/>
                <w:sz w:val="20"/>
                <w:szCs w:val="20"/>
              </w:rPr>
            </w:pPr>
          </w:p>
        </w:tc>
        <w:tc>
          <w:tcPr>
            <w:tcW w:w="13320" w:type="dxa"/>
            <w:gridSpan w:val="6"/>
            <w:tcBorders>
              <w:top w:val="single" w:sz="12" w:space="0" w:color="4F81BD" w:themeColor="accent1"/>
            </w:tcBorders>
            <w:shd w:val="clear" w:color="000000" w:fill="FFFFFF"/>
          </w:tcPr>
          <w:p w:rsidR="00F00872" w:rsidRDefault="007F2572" w:rsidP="00B15945">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p>
          <w:p w:rsidR="0073390F" w:rsidRPr="00D021B8" w:rsidRDefault="0073390F" w:rsidP="0073390F">
            <w:pPr>
              <w:pStyle w:val="NoSpacing"/>
              <w:numPr>
                <w:ilvl w:val="0"/>
                <w:numId w:val="36"/>
              </w:numPr>
              <w:rPr>
                <w:sz w:val="20"/>
                <w:szCs w:val="20"/>
              </w:rPr>
            </w:pPr>
            <w:r w:rsidRPr="00D021B8">
              <w:rPr>
                <w:sz w:val="20"/>
                <w:szCs w:val="20"/>
              </w:rPr>
              <w:t xml:space="preserve">We understand that it may be challenging for public health departments to be fully prepared to accept electronic submissions of all three public health objectives by 2014. If HHS needs to maintain flexibility (e.g., retain menu option), we recommend that immunization registries be the highest priority. </w:t>
            </w:r>
          </w:p>
          <w:p w:rsidR="0073390F" w:rsidRPr="00523F4D" w:rsidRDefault="0073390F" w:rsidP="0073390F">
            <w:pPr>
              <w:pStyle w:val="NoSpacing"/>
              <w:numPr>
                <w:ilvl w:val="0"/>
                <w:numId w:val="36"/>
              </w:numPr>
              <w:rPr>
                <w:sz w:val="20"/>
                <w:szCs w:val="20"/>
              </w:rPr>
            </w:pPr>
            <w:r w:rsidRPr="00DE000E">
              <w:rPr>
                <w:bCs/>
                <w:sz w:val="20"/>
                <w:szCs w:val="20"/>
              </w:rPr>
              <w:t xml:space="preserve">Need clarification on "except where prohibited." Participation should be encouraged beyond transfers required by law, but we are concerned about unintended consequences (e.g., temptation to pass new laws prohibiting transfer to avoid penalizing local health providers). </w:t>
            </w:r>
          </w:p>
          <w:p w:rsidR="0073390F" w:rsidRPr="00D7704E" w:rsidRDefault="00523F4D" w:rsidP="00A06A41">
            <w:pPr>
              <w:pStyle w:val="NoSpacing"/>
              <w:numPr>
                <w:ilvl w:val="0"/>
                <w:numId w:val="36"/>
              </w:numPr>
              <w:rPr>
                <w:rFonts w:eastAsia="Times New Roman" w:cs="Times New Roman"/>
                <w:b/>
                <w:bCs/>
                <w:sz w:val="20"/>
                <w:szCs w:val="20"/>
              </w:rPr>
            </w:pPr>
            <w:r w:rsidRPr="00A06A41">
              <w:rPr>
                <w:bCs/>
                <w:sz w:val="20"/>
                <w:szCs w:val="20"/>
              </w:rPr>
              <w:t>Need to define “successful ongoing submission”</w:t>
            </w:r>
          </w:p>
        </w:tc>
      </w:tr>
      <w:tr w:rsidR="00E34B64" w:rsidRPr="00D7704E" w:rsidTr="00174FA6">
        <w:trPr>
          <w:gridAfter w:val="1"/>
          <w:wAfter w:w="90" w:type="dxa"/>
          <w:trHeight w:val="630"/>
        </w:trPr>
        <w:tc>
          <w:tcPr>
            <w:tcW w:w="1095" w:type="dxa"/>
            <w:shd w:val="clear" w:color="auto" w:fill="286AA0"/>
          </w:tcPr>
          <w:p w:rsidR="00E34B64" w:rsidRPr="00D7704E" w:rsidRDefault="00AF5053" w:rsidP="00B15945">
            <w:pPr>
              <w:spacing w:after="0" w:line="240" w:lineRule="auto"/>
              <w:jc w:val="center"/>
              <w:rPr>
                <w:rFonts w:ascii="Garamond" w:eastAsia="Times New Roman" w:hAnsi="Garamond" w:cs="Times New Roman"/>
                <w:b/>
                <w:bCs/>
                <w:color w:val="FFFFFF"/>
                <w:sz w:val="20"/>
                <w:szCs w:val="20"/>
              </w:rPr>
            </w:pPr>
            <w:r w:rsidRPr="00D7704E">
              <w:rPr>
                <w:sz w:val="20"/>
                <w:szCs w:val="20"/>
              </w:rPr>
              <w:br w:type="page"/>
            </w:r>
            <w:r w:rsidR="00E34B64" w:rsidRPr="00D7704E">
              <w:rPr>
                <w:rFonts w:ascii="Garamond" w:eastAsia="Times New Roman" w:hAnsi="Garamond" w:cs="Times New Roman"/>
                <w:b/>
                <w:bCs/>
                <w:color w:val="FFFFFF"/>
                <w:sz w:val="20"/>
                <w:szCs w:val="20"/>
              </w:rPr>
              <w:t>Policy Priority</w:t>
            </w:r>
          </w:p>
        </w:tc>
        <w:tc>
          <w:tcPr>
            <w:tcW w:w="3960" w:type="dxa"/>
            <w:gridSpan w:val="2"/>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gridSpan w:val="2"/>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E34B64" w:rsidRPr="00D7704E" w:rsidTr="00174FA6">
        <w:trPr>
          <w:gridAfter w:val="1"/>
          <w:wAfter w:w="90" w:type="dxa"/>
          <w:trHeight w:val="1070"/>
        </w:trPr>
        <w:tc>
          <w:tcPr>
            <w:tcW w:w="1095" w:type="dxa"/>
            <w:vMerge w:val="restart"/>
            <w:shd w:val="clear" w:color="auto" w:fill="auto"/>
          </w:tcPr>
          <w:p w:rsidR="00E34B64" w:rsidRPr="00D7704E" w:rsidRDefault="00E34B64"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Improve population and public health </w:t>
            </w:r>
          </w:p>
          <w:p w:rsidR="00E34B64" w:rsidRPr="00D7704E" w:rsidRDefault="00E34B64" w:rsidP="00B15945">
            <w:pPr>
              <w:spacing w:after="0" w:line="240" w:lineRule="auto"/>
              <w:jc w:val="center"/>
              <w:rPr>
                <w:rFonts w:eastAsia="Times New Roman" w:cs="Times New Roman"/>
                <w:b/>
                <w:bCs/>
                <w:sz w:val="20"/>
                <w:szCs w:val="20"/>
              </w:rPr>
            </w:pPr>
          </w:p>
        </w:tc>
        <w:tc>
          <w:tcPr>
            <w:tcW w:w="3960" w:type="dxa"/>
            <w:gridSpan w:val="2"/>
            <w:tcBorders>
              <w:bottom w:val="single" w:sz="12" w:space="0" w:color="4F81BD" w:themeColor="accent1"/>
            </w:tcBorders>
            <w:shd w:val="clear" w:color="auto" w:fill="auto"/>
            <w:noWrap/>
          </w:tcPr>
          <w:p w:rsidR="00E34B64" w:rsidRPr="00D7704E" w:rsidRDefault="00E34B64" w:rsidP="00E34B64">
            <w:pPr>
              <w:spacing w:after="0" w:line="240" w:lineRule="auto"/>
              <w:rPr>
                <w:rFonts w:eastAsia="Times New Roman"/>
                <w:bCs/>
                <w:sz w:val="20"/>
                <w:szCs w:val="20"/>
              </w:rPr>
            </w:pPr>
            <w:r w:rsidRPr="00D7704E">
              <w:rPr>
                <w:rFonts w:eastAsia="Times New Roman"/>
                <w:bCs/>
                <w:sz w:val="20"/>
                <w:szCs w:val="20"/>
              </w:rPr>
              <w:t>N/A</w:t>
            </w:r>
          </w:p>
          <w:p w:rsidR="00E34B64" w:rsidRPr="00D7704E" w:rsidRDefault="00E34B64" w:rsidP="00B15945">
            <w:pPr>
              <w:spacing w:after="0" w:line="240" w:lineRule="auto"/>
              <w:rPr>
                <w:rFonts w:eastAsia="Times New Roman" w:cs="Times New Roman"/>
                <w:bCs/>
                <w:sz w:val="20"/>
                <w:szCs w:val="20"/>
              </w:rPr>
            </w:pPr>
          </w:p>
        </w:tc>
        <w:tc>
          <w:tcPr>
            <w:tcW w:w="3240" w:type="dxa"/>
            <w:gridSpan w:val="2"/>
            <w:tcBorders>
              <w:bottom w:val="single" w:sz="12" w:space="0" w:color="4F81BD" w:themeColor="accent1"/>
            </w:tcBorders>
            <w:shd w:val="clear" w:color="auto" w:fill="auto"/>
            <w:noWrap/>
          </w:tcPr>
          <w:p w:rsidR="00E34B64" w:rsidRPr="00D7704E" w:rsidRDefault="00E34B64" w:rsidP="00E34B64">
            <w:pPr>
              <w:rPr>
                <w:rFonts w:eastAsia="Times New Roman"/>
                <w:bCs/>
                <w:sz w:val="20"/>
                <w:szCs w:val="20"/>
              </w:rPr>
            </w:pPr>
            <w:r w:rsidRPr="00D7704E">
              <w:rPr>
                <w:rFonts w:eastAsia="Times New Roman"/>
                <w:bCs/>
                <w:sz w:val="20"/>
                <w:szCs w:val="20"/>
              </w:rPr>
              <w:t>N/A</w:t>
            </w:r>
          </w:p>
          <w:p w:rsidR="00E34B64" w:rsidRPr="00D7704E" w:rsidRDefault="00E34B64" w:rsidP="00B15945">
            <w:pPr>
              <w:rPr>
                <w:rFonts w:eastAsia="Times New Roman" w:cs="Times New Roman"/>
                <w:b/>
                <w:bCs/>
                <w:sz w:val="20"/>
                <w:szCs w:val="20"/>
              </w:rPr>
            </w:pPr>
          </w:p>
        </w:tc>
        <w:tc>
          <w:tcPr>
            <w:tcW w:w="6030" w:type="dxa"/>
            <w:tcBorders>
              <w:bottom w:val="single" w:sz="12" w:space="0" w:color="4F81BD" w:themeColor="accent1"/>
            </w:tcBorders>
            <w:shd w:val="clear" w:color="auto" w:fill="auto"/>
            <w:noWrap/>
          </w:tcPr>
          <w:p w:rsidR="00716580"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 xml:space="preserve">EP Objective: </w:t>
            </w:r>
            <w:r w:rsidRPr="00D7704E">
              <w:rPr>
                <w:rFonts w:eastAsia="Times New Roman" w:cs="Times New Roman"/>
                <w:bCs/>
                <w:sz w:val="20"/>
                <w:szCs w:val="20"/>
              </w:rPr>
              <w:t>Capability to identify and report cancer cases to a State cancer registry, except where prohibited, and in accordance with applicable law and practice.</w:t>
            </w:r>
          </w:p>
          <w:p w:rsidR="00E34B64"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Menu Measure: </w:t>
            </w:r>
            <w:r w:rsidRPr="00D7704E">
              <w:rPr>
                <w:rFonts w:eastAsia="Times New Roman" w:cs="Times New Roman"/>
                <w:bCs/>
                <w:sz w:val="20"/>
                <w:szCs w:val="20"/>
              </w:rPr>
              <w:t>Successful ongoing submission of cancer case information from Certified EHR Technology to a cancer registry for the entire  EHR reporting period</w:t>
            </w:r>
          </w:p>
        </w:tc>
      </w:tr>
      <w:tr w:rsidR="00E34B64" w:rsidRPr="00D7704E" w:rsidTr="00174FA6">
        <w:trPr>
          <w:gridAfter w:val="1"/>
          <w:wAfter w:w="90" w:type="dxa"/>
          <w:trHeight w:val="303"/>
        </w:trPr>
        <w:tc>
          <w:tcPr>
            <w:tcW w:w="1095" w:type="dxa"/>
            <w:vMerge/>
            <w:vAlign w:val="center"/>
          </w:tcPr>
          <w:p w:rsidR="00E34B64" w:rsidRPr="00D7704E" w:rsidRDefault="00E34B64" w:rsidP="00B15945">
            <w:pPr>
              <w:spacing w:after="0" w:line="240" w:lineRule="auto"/>
              <w:rPr>
                <w:rFonts w:eastAsia="Times New Roman" w:cs="Times New Roman"/>
                <w:b/>
                <w:bCs/>
                <w:sz w:val="20"/>
                <w:szCs w:val="20"/>
              </w:rPr>
            </w:pPr>
          </w:p>
        </w:tc>
        <w:tc>
          <w:tcPr>
            <w:tcW w:w="13230" w:type="dxa"/>
            <w:gridSpan w:val="5"/>
            <w:tcBorders>
              <w:top w:val="single" w:sz="12" w:space="0" w:color="4F81BD" w:themeColor="accent1"/>
            </w:tcBorders>
            <w:shd w:val="clear" w:color="000000" w:fill="FFFFFF"/>
          </w:tcPr>
          <w:p w:rsidR="00E34B64" w:rsidRDefault="007F2572" w:rsidP="00B15945">
            <w:pPr>
              <w:spacing w:after="0" w:line="240" w:lineRule="auto"/>
              <w:rPr>
                <w:rFonts w:eastAsia="Times New Roman" w:cs="Times New Roman"/>
                <w:b/>
                <w:bCs/>
                <w:color w:val="365F91" w:themeColor="accent1" w:themeShade="BF"/>
                <w:sz w:val="20"/>
                <w:szCs w:val="20"/>
              </w:rPr>
            </w:pPr>
            <w:r>
              <w:rPr>
                <w:rFonts w:eastAsia="Times New Roman" w:cs="Times New Roman"/>
                <w:b/>
                <w:bCs/>
                <w:color w:val="365F91" w:themeColor="accent1" w:themeShade="BF"/>
                <w:sz w:val="20"/>
                <w:szCs w:val="20"/>
              </w:rPr>
              <w:t>Comments</w:t>
            </w:r>
            <w:r w:rsidR="006F73B5">
              <w:rPr>
                <w:rFonts w:eastAsia="Times New Roman" w:cs="Times New Roman"/>
                <w:b/>
                <w:bCs/>
                <w:color w:val="365F91" w:themeColor="accent1" w:themeShade="BF"/>
                <w:sz w:val="20"/>
                <w:szCs w:val="20"/>
              </w:rPr>
              <w:t xml:space="preserve"> </w:t>
            </w:r>
            <w:r w:rsidR="00CD2396">
              <w:rPr>
                <w:rFonts w:eastAsia="Times New Roman" w:cs="Times New Roman"/>
                <w:b/>
                <w:bCs/>
                <w:color w:val="365F91" w:themeColor="accent1" w:themeShade="BF"/>
                <w:sz w:val="20"/>
                <w:szCs w:val="20"/>
              </w:rPr>
              <w:t xml:space="preserve"> </w:t>
            </w:r>
          </w:p>
          <w:p w:rsidR="00EF422C" w:rsidRPr="007F2572" w:rsidRDefault="00CD2396" w:rsidP="007F2572">
            <w:pPr>
              <w:pStyle w:val="NoSpacing"/>
              <w:numPr>
                <w:ilvl w:val="0"/>
                <w:numId w:val="35"/>
              </w:numPr>
              <w:rPr>
                <w:sz w:val="20"/>
                <w:szCs w:val="20"/>
              </w:rPr>
            </w:pPr>
            <w:r w:rsidRPr="00710BDB">
              <w:rPr>
                <w:sz w:val="20"/>
                <w:szCs w:val="20"/>
              </w:rPr>
              <w:t xml:space="preserve">Recommend </w:t>
            </w:r>
            <w:r w:rsidRPr="007F2572">
              <w:rPr>
                <w:sz w:val="20"/>
                <w:szCs w:val="20"/>
              </w:rPr>
              <w:t xml:space="preserve">consolidating two registry objectives (cancer and specialty registry) into </w:t>
            </w:r>
            <w:r w:rsidRPr="007F2572">
              <w:rPr>
                <w:b/>
                <w:sz w:val="20"/>
                <w:szCs w:val="20"/>
              </w:rPr>
              <w:t>one menu objective</w:t>
            </w:r>
            <w:r w:rsidRPr="007F2572">
              <w:rPr>
                <w:sz w:val="20"/>
                <w:szCs w:val="20"/>
              </w:rPr>
              <w:t xml:space="preserve">. </w:t>
            </w:r>
          </w:p>
        </w:tc>
      </w:tr>
    </w:tbl>
    <w:p w:rsidR="00174FA6" w:rsidRDefault="00174FA6">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3960"/>
        <w:gridCol w:w="3240"/>
        <w:gridCol w:w="6030"/>
      </w:tblGrid>
      <w:tr w:rsidR="00E34B64" w:rsidRPr="00D7704E" w:rsidTr="00174FA6">
        <w:trPr>
          <w:trHeight w:val="630"/>
        </w:trPr>
        <w:tc>
          <w:tcPr>
            <w:tcW w:w="1095" w:type="dxa"/>
            <w:shd w:val="clear" w:color="auto" w:fill="286AA0"/>
          </w:tcPr>
          <w:p w:rsidR="00E34B64" w:rsidRPr="00D7704E" w:rsidRDefault="00AF5053" w:rsidP="00B15945">
            <w:pPr>
              <w:spacing w:after="0" w:line="240" w:lineRule="auto"/>
              <w:jc w:val="center"/>
              <w:rPr>
                <w:rFonts w:ascii="Garamond" w:eastAsia="Times New Roman" w:hAnsi="Garamond" w:cs="Times New Roman"/>
                <w:b/>
                <w:bCs/>
                <w:color w:val="FFFFFF"/>
                <w:sz w:val="20"/>
                <w:szCs w:val="20"/>
              </w:rPr>
            </w:pPr>
            <w:r w:rsidRPr="00D7704E">
              <w:rPr>
                <w:sz w:val="20"/>
                <w:szCs w:val="20"/>
              </w:rPr>
              <w:lastRenderedPageBreak/>
              <w:br w:type="page"/>
            </w:r>
            <w:r w:rsidR="00E34B64" w:rsidRPr="00D7704E">
              <w:rPr>
                <w:rFonts w:ascii="Garamond" w:eastAsia="Times New Roman" w:hAnsi="Garamond" w:cs="Times New Roman"/>
                <w:b/>
                <w:bCs/>
                <w:color w:val="FFFFFF"/>
                <w:sz w:val="20"/>
                <w:szCs w:val="20"/>
              </w:rPr>
              <w:t>Policy Priority</w:t>
            </w:r>
          </w:p>
        </w:tc>
        <w:tc>
          <w:tcPr>
            <w:tcW w:w="3960" w:type="dxa"/>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E34B64" w:rsidRPr="00D7704E" w:rsidTr="00174FA6">
        <w:trPr>
          <w:trHeight w:val="1070"/>
        </w:trPr>
        <w:tc>
          <w:tcPr>
            <w:tcW w:w="1095" w:type="dxa"/>
            <w:vMerge w:val="restart"/>
            <w:shd w:val="clear" w:color="auto" w:fill="auto"/>
          </w:tcPr>
          <w:p w:rsidR="00E34B64" w:rsidRPr="00D7704E" w:rsidRDefault="00E34B64"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Improve population and public health </w:t>
            </w:r>
          </w:p>
          <w:p w:rsidR="00E34B64" w:rsidRPr="00D7704E" w:rsidRDefault="00E34B64" w:rsidP="00B15945">
            <w:pPr>
              <w:spacing w:after="0" w:line="240" w:lineRule="auto"/>
              <w:jc w:val="center"/>
              <w:rPr>
                <w:rFonts w:eastAsia="Times New Roman" w:cs="Times New Roman"/>
                <w:b/>
                <w:bCs/>
                <w:sz w:val="20"/>
                <w:szCs w:val="20"/>
              </w:rPr>
            </w:pPr>
          </w:p>
        </w:tc>
        <w:tc>
          <w:tcPr>
            <w:tcW w:w="3960" w:type="dxa"/>
            <w:tcBorders>
              <w:bottom w:val="single" w:sz="12" w:space="0" w:color="4F81BD" w:themeColor="accent1"/>
            </w:tcBorders>
            <w:shd w:val="clear" w:color="auto" w:fill="auto"/>
            <w:noWrap/>
          </w:tcPr>
          <w:p w:rsidR="00E34B64" w:rsidRPr="00D7704E" w:rsidRDefault="00E34B64" w:rsidP="00B15945">
            <w:pPr>
              <w:spacing w:after="0" w:line="240" w:lineRule="auto"/>
              <w:rPr>
                <w:rFonts w:eastAsia="Times New Roman"/>
                <w:bCs/>
                <w:sz w:val="20"/>
                <w:szCs w:val="20"/>
              </w:rPr>
            </w:pPr>
            <w:r w:rsidRPr="00D7704E">
              <w:rPr>
                <w:rFonts w:eastAsia="Times New Roman"/>
                <w:bCs/>
                <w:sz w:val="20"/>
                <w:szCs w:val="20"/>
              </w:rPr>
              <w:t>N/A</w:t>
            </w:r>
          </w:p>
          <w:p w:rsidR="00E34B64" w:rsidRPr="00D7704E" w:rsidRDefault="00E34B64" w:rsidP="00B15945">
            <w:pPr>
              <w:spacing w:after="0" w:line="240" w:lineRule="auto"/>
              <w:rPr>
                <w:rFonts w:eastAsia="Times New Roman" w:cs="Times New Roman"/>
                <w:bCs/>
                <w:sz w:val="20"/>
                <w:szCs w:val="20"/>
              </w:rPr>
            </w:pPr>
          </w:p>
        </w:tc>
        <w:tc>
          <w:tcPr>
            <w:tcW w:w="3240" w:type="dxa"/>
            <w:tcBorders>
              <w:bottom w:val="single" w:sz="12" w:space="0" w:color="4F81BD" w:themeColor="accent1"/>
            </w:tcBorders>
            <w:shd w:val="clear" w:color="auto" w:fill="auto"/>
            <w:noWrap/>
          </w:tcPr>
          <w:p w:rsidR="00E34B64" w:rsidRPr="00D7704E" w:rsidRDefault="00E34B64" w:rsidP="00B15945">
            <w:pPr>
              <w:rPr>
                <w:rFonts w:eastAsia="Times New Roman"/>
                <w:bCs/>
                <w:sz w:val="20"/>
                <w:szCs w:val="20"/>
              </w:rPr>
            </w:pPr>
            <w:r w:rsidRPr="00D7704E">
              <w:rPr>
                <w:rFonts w:eastAsia="Times New Roman"/>
                <w:bCs/>
                <w:sz w:val="20"/>
                <w:szCs w:val="20"/>
              </w:rPr>
              <w:t>N/A</w:t>
            </w:r>
          </w:p>
          <w:p w:rsidR="00E34B64" w:rsidRPr="00D7704E" w:rsidRDefault="00E34B64" w:rsidP="00B15945">
            <w:pPr>
              <w:rPr>
                <w:rFonts w:eastAsia="Times New Roman" w:cs="Times New Roman"/>
                <w:b/>
                <w:bCs/>
                <w:sz w:val="20"/>
                <w:szCs w:val="20"/>
              </w:rPr>
            </w:pPr>
          </w:p>
        </w:tc>
        <w:tc>
          <w:tcPr>
            <w:tcW w:w="6030" w:type="dxa"/>
            <w:tcBorders>
              <w:bottom w:val="single" w:sz="12" w:space="0" w:color="4F81BD" w:themeColor="accent1"/>
            </w:tcBorders>
            <w:shd w:val="clear" w:color="auto" w:fill="auto"/>
            <w:noWrap/>
          </w:tcPr>
          <w:p w:rsidR="00716580" w:rsidRPr="00D7704E" w:rsidRDefault="00AF5053" w:rsidP="00716580">
            <w:pPr>
              <w:spacing w:after="0" w:line="240" w:lineRule="auto"/>
              <w:rPr>
                <w:rFonts w:eastAsia="Times New Roman" w:cs="Times New Roman"/>
                <w:b/>
                <w:bCs/>
                <w:sz w:val="20"/>
                <w:szCs w:val="20"/>
              </w:rPr>
            </w:pPr>
            <w:r w:rsidRPr="00D7704E">
              <w:rPr>
                <w:rFonts w:eastAsia="Times New Roman" w:cs="Times New Roman"/>
                <w:b/>
                <w:bCs/>
                <w:sz w:val="20"/>
                <w:szCs w:val="20"/>
              </w:rPr>
              <w:t xml:space="preserve">EP </w:t>
            </w:r>
            <w:r w:rsidR="00716580" w:rsidRPr="00D7704E">
              <w:rPr>
                <w:rFonts w:eastAsia="Times New Roman" w:cs="Times New Roman"/>
                <w:b/>
                <w:bCs/>
                <w:sz w:val="20"/>
                <w:szCs w:val="20"/>
              </w:rPr>
              <w:t xml:space="preserve">Objective: </w:t>
            </w:r>
            <w:r w:rsidR="00716580" w:rsidRPr="00D7704E">
              <w:rPr>
                <w:rFonts w:eastAsia="Times New Roman" w:cs="Times New Roman"/>
                <w:bCs/>
                <w:sz w:val="20"/>
                <w:szCs w:val="20"/>
              </w:rPr>
              <w:t>Capability to identify and report specific cases to a specialized registry (other than a cancer registry), except where prohibited, and in accordance with applicable law and practice.</w:t>
            </w:r>
          </w:p>
          <w:p w:rsidR="00E34B64" w:rsidRPr="00D7704E" w:rsidRDefault="00AF5053" w:rsidP="00AF5053">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Menu </w:t>
            </w:r>
            <w:r w:rsidR="00716580" w:rsidRPr="00D7704E">
              <w:rPr>
                <w:rFonts w:eastAsia="Times New Roman" w:cs="Times New Roman"/>
                <w:b/>
                <w:bCs/>
                <w:sz w:val="20"/>
                <w:szCs w:val="20"/>
              </w:rPr>
              <w:t xml:space="preserve">Measure: </w:t>
            </w:r>
            <w:r w:rsidR="00716580" w:rsidRPr="00D7704E">
              <w:rPr>
                <w:rFonts w:eastAsia="Times New Roman" w:cs="Times New Roman"/>
                <w:bCs/>
                <w:sz w:val="20"/>
                <w:szCs w:val="20"/>
              </w:rPr>
              <w:t>Successful ongoing submission of specific case information from Certified EHR Technology to a specialized registry for the entire EHR reporting period</w:t>
            </w:r>
          </w:p>
        </w:tc>
      </w:tr>
      <w:tr w:rsidR="00E34B64" w:rsidRPr="00D7704E" w:rsidTr="00174FA6">
        <w:trPr>
          <w:trHeight w:val="303"/>
        </w:trPr>
        <w:tc>
          <w:tcPr>
            <w:tcW w:w="1095" w:type="dxa"/>
            <w:vMerge/>
            <w:vAlign w:val="center"/>
          </w:tcPr>
          <w:p w:rsidR="00E34B64" w:rsidRPr="00D7704E" w:rsidRDefault="00E34B64" w:rsidP="00B15945">
            <w:pPr>
              <w:spacing w:after="0" w:line="240" w:lineRule="auto"/>
              <w:rPr>
                <w:rFonts w:eastAsia="Times New Roman" w:cs="Times New Roman"/>
                <w:b/>
                <w:bCs/>
                <w:sz w:val="20"/>
                <w:szCs w:val="20"/>
              </w:rPr>
            </w:pPr>
          </w:p>
        </w:tc>
        <w:tc>
          <w:tcPr>
            <w:tcW w:w="13230" w:type="dxa"/>
            <w:gridSpan w:val="3"/>
            <w:tcBorders>
              <w:top w:val="single" w:sz="12" w:space="0" w:color="4F81BD" w:themeColor="accent1"/>
            </w:tcBorders>
            <w:shd w:val="clear" w:color="000000" w:fill="FFFFFF"/>
          </w:tcPr>
          <w:p w:rsidR="00EF422C" w:rsidRDefault="007F2572">
            <w:pPr>
              <w:pStyle w:val="NoSpacing"/>
              <w:rPr>
                <w:sz w:val="20"/>
                <w:szCs w:val="20"/>
              </w:rPr>
            </w:pPr>
            <w:r>
              <w:rPr>
                <w:rFonts w:eastAsia="Times New Roman" w:cs="Times New Roman"/>
                <w:b/>
                <w:bCs/>
                <w:color w:val="365F91" w:themeColor="accent1" w:themeShade="BF"/>
                <w:sz w:val="20"/>
                <w:szCs w:val="20"/>
              </w:rPr>
              <w:t>Comments</w:t>
            </w:r>
            <w:r w:rsidR="00CD2396">
              <w:rPr>
                <w:rFonts w:eastAsia="Times New Roman" w:cs="Times New Roman"/>
                <w:b/>
                <w:bCs/>
                <w:color w:val="365F91" w:themeColor="accent1" w:themeShade="BF"/>
                <w:sz w:val="20"/>
                <w:szCs w:val="20"/>
              </w:rPr>
              <w:t xml:space="preserve">: </w:t>
            </w:r>
            <w:r w:rsidR="00A13B44" w:rsidRPr="00A06A41">
              <w:rPr>
                <w:rFonts w:eastAsia="Times New Roman" w:cs="Times New Roman"/>
                <w:bCs/>
                <w:sz w:val="20"/>
                <w:szCs w:val="20"/>
              </w:rPr>
              <w:t>Recommend</w:t>
            </w:r>
            <w:r w:rsidR="00CD2396" w:rsidRPr="00A06A41">
              <w:rPr>
                <w:sz w:val="20"/>
                <w:szCs w:val="20"/>
              </w:rPr>
              <w:t xml:space="preserve"> consolidating</w:t>
            </w:r>
            <w:r w:rsidR="00CD2396" w:rsidRPr="00710BDB">
              <w:rPr>
                <w:sz w:val="20"/>
                <w:szCs w:val="20"/>
              </w:rPr>
              <w:t xml:space="preserve"> two registry objectives (cancer and specialty registry) into </w:t>
            </w:r>
            <w:r w:rsidR="00CD2396" w:rsidRPr="00710BDB">
              <w:rPr>
                <w:b/>
                <w:sz w:val="20"/>
                <w:szCs w:val="20"/>
              </w:rPr>
              <w:t>one menu objective</w:t>
            </w:r>
            <w:r w:rsidR="00CD2396" w:rsidRPr="00710BDB">
              <w:rPr>
                <w:sz w:val="20"/>
                <w:szCs w:val="20"/>
              </w:rPr>
              <w:t>.</w:t>
            </w:r>
          </w:p>
          <w:p w:rsidR="00E34B64" w:rsidRPr="00D7704E" w:rsidRDefault="00E34B64" w:rsidP="00B15945">
            <w:pPr>
              <w:spacing w:after="0" w:line="240" w:lineRule="auto"/>
              <w:rPr>
                <w:rFonts w:eastAsia="Times New Roman" w:cs="Times New Roman"/>
                <w:b/>
                <w:bCs/>
                <w:sz w:val="20"/>
                <w:szCs w:val="20"/>
              </w:rPr>
            </w:pPr>
          </w:p>
        </w:tc>
      </w:tr>
    </w:tbl>
    <w:p w:rsidR="00626C3A" w:rsidRDefault="00626C3A">
      <w:pPr>
        <w:rPr>
          <w:rFonts w:asciiTheme="majorHAnsi" w:eastAsiaTheme="majorEastAsia" w:hAnsiTheme="majorHAnsi" w:cstheme="majorBidi"/>
          <w:b/>
          <w:bCs/>
          <w:color w:val="365F91" w:themeColor="accent1" w:themeShade="BF"/>
          <w:sz w:val="28"/>
          <w:szCs w:val="28"/>
        </w:rPr>
      </w:pPr>
      <w:bookmarkStart w:id="2" w:name="_Toc324101160"/>
    </w:p>
    <w:p w:rsidR="00626C3A" w:rsidRDefault="00626C3A" w:rsidP="00626C3A">
      <w:pPr>
        <w:pStyle w:val="Heading1"/>
      </w:pPr>
      <w:bookmarkStart w:id="3" w:name="_Toc324102765"/>
      <w:r w:rsidRPr="00893F9A">
        <w:t xml:space="preserve">Comments Solicited </w:t>
      </w:r>
      <w:r>
        <w:t>in NPRM</w:t>
      </w:r>
      <w:bookmarkEnd w:id="2"/>
      <w:bookmarkEnd w:id="3"/>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2355"/>
        <w:gridCol w:w="11970"/>
      </w:tblGrid>
      <w:tr w:rsidR="00626C3A" w:rsidRPr="00D7704E" w:rsidTr="00CF23E2">
        <w:trPr>
          <w:trHeight w:val="312"/>
        </w:trPr>
        <w:tc>
          <w:tcPr>
            <w:tcW w:w="2355" w:type="dxa"/>
            <w:shd w:val="clear" w:color="auto" w:fill="286AA0"/>
          </w:tcPr>
          <w:p w:rsidR="00626C3A" w:rsidRPr="00D7704E" w:rsidRDefault="00130BE6" w:rsidP="00CF23E2">
            <w:pPr>
              <w:spacing w:after="0" w:line="240" w:lineRule="auto"/>
              <w:jc w:val="center"/>
              <w:rPr>
                <w:rFonts w:ascii="Garamond" w:eastAsia="Times New Roman" w:hAnsi="Garamond" w:cs="Times New Roman"/>
                <w:b/>
                <w:bCs/>
                <w:color w:val="FFFFFF"/>
                <w:sz w:val="20"/>
                <w:szCs w:val="20"/>
              </w:rPr>
            </w:pPr>
            <w:r>
              <w:br w:type="page"/>
            </w:r>
            <w:r w:rsidR="00626C3A">
              <w:rPr>
                <w:rFonts w:ascii="Garamond" w:eastAsia="Times New Roman" w:hAnsi="Garamond" w:cs="Times New Roman"/>
                <w:b/>
                <w:bCs/>
                <w:color w:val="FFFFFF"/>
                <w:sz w:val="20"/>
                <w:szCs w:val="20"/>
              </w:rPr>
              <w:t>General Comment Topic</w:t>
            </w:r>
          </w:p>
        </w:tc>
        <w:tc>
          <w:tcPr>
            <w:tcW w:w="11970"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626C3A" w:rsidRPr="00D7704E" w:rsidTr="00CF23E2">
        <w:trPr>
          <w:trHeight w:val="863"/>
        </w:trPr>
        <w:tc>
          <w:tcPr>
            <w:tcW w:w="2355" w:type="dxa"/>
            <w:tcBorders>
              <w:bottom w:val="single" w:sz="12" w:space="0" w:color="4F81BD" w:themeColor="accent1"/>
            </w:tcBorders>
            <w:shd w:val="clear" w:color="auto" w:fill="auto"/>
            <w:noWrap/>
          </w:tcPr>
          <w:p w:rsidR="00626C3A" w:rsidRDefault="00626C3A" w:rsidP="00CF23E2">
            <w:pPr>
              <w:pStyle w:val="NoSpacing"/>
              <w:rPr>
                <w:rFonts w:cs="Times New Roman"/>
                <w:sz w:val="20"/>
                <w:szCs w:val="20"/>
              </w:rPr>
            </w:pPr>
          </w:p>
          <w:p w:rsidR="00626C3A" w:rsidRDefault="00626C3A" w:rsidP="00CF23E2"/>
          <w:p w:rsidR="00626C3A" w:rsidRPr="009349E3" w:rsidRDefault="00626C3A" w:rsidP="00CF23E2">
            <w:pPr>
              <w:jc w:val="center"/>
            </w:pPr>
            <w:r w:rsidRPr="00DA3FF2">
              <w:rPr>
                <w:rFonts w:eastAsia="Times New Roman"/>
                <w:bCs/>
                <w:sz w:val="20"/>
                <w:szCs w:val="20"/>
              </w:rPr>
              <w:t xml:space="preserve">Core and Menu </w:t>
            </w:r>
          </w:p>
        </w:tc>
        <w:tc>
          <w:tcPr>
            <w:tcW w:w="11970" w:type="dxa"/>
            <w:tcBorders>
              <w:bottom w:val="single" w:sz="12" w:space="0" w:color="4F81BD" w:themeColor="accent1"/>
            </w:tcBorders>
            <w:shd w:val="clear" w:color="auto" w:fill="auto"/>
            <w:noWrap/>
          </w:tcPr>
          <w:p w:rsidR="00626C3A" w:rsidRPr="00111E29" w:rsidRDefault="00626C3A" w:rsidP="00CF23E2">
            <w:pPr>
              <w:autoSpaceDE w:val="0"/>
              <w:autoSpaceDN w:val="0"/>
              <w:adjustRightInd w:val="0"/>
              <w:spacing w:after="0" w:line="240" w:lineRule="auto"/>
              <w:rPr>
                <w:sz w:val="20"/>
                <w:szCs w:val="20"/>
              </w:rPr>
            </w:pPr>
            <w:r w:rsidRPr="00E820E7">
              <w:rPr>
                <w:sz w:val="20"/>
                <w:szCs w:val="20"/>
              </w:rPr>
              <w:t>We are proposing a total of 17 core</w:t>
            </w:r>
            <w:r>
              <w:rPr>
                <w:sz w:val="20"/>
                <w:szCs w:val="20"/>
              </w:rPr>
              <w:t xml:space="preserve"> </w:t>
            </w:r>
            <w:r w:rsidRPr="00E820E7">
              <w:rPr>
                <w:sz w:val="20"/>
                <w:szCs w:val="20"/>
              </w:rPr>
              <w:t>objectives and 5 menu objectives for</w:t>
            </w:r>
            <w:r>
              <w:rPr>
                <w:sz w:val="20"/>
                <w:szCs w:val="20"/>
              </w:rPr>
              <w:t xml:space="preserve"> </w:t>
            </w:r>
            <w:r w:rsidRPr="00E820E7">
              <w:rPr>
                <w:sz w:val="20"/>
                <w:szCs w:val="20"/>
              </w:rPr>
              <w:t>EPs. We propose that an EP must meet</w:t>
            </w:r>
            <w:r>
              <w:rPr>
                <w:sz w:val="20"/>
                <w:szCs w:val="20"/>
              </w:rPr>
              <w:t xml:space="preserve"> </w:t>
            </w:r>
            <w:r w:rsidRPr="00E820E7">
              <w:rPr>
                <w:sz w:val="20"/>
                <w:szCs w:val="20"/>
              </w:rPr>
              <w:t xml:space="preserve">the criteria or </w:t>
            </w:r>
            <w:proofErr w:type="gramStart"/>
            <w:r w:rsidRPr="00E820E7">
              <w:rPr>
                <w:sz w:val="20"/>
                <w:szCs w:val="20"/>
              </w:rPr>
              <w:t>an exclusion</w:t>
            </w:r>
            <w:proofErr w:type="gramEnd"/>
            <w:r w:rsidRPr="00E820E7">
              <w:rPr>
                <w:sz w:val="20"/>
                <w:szCs w:val="20"/>
              </w:rPr>
              <w:t xml:space="preserve"> for all of the</w:t>
            </w:r>
            <w:r>
              <w:rPr>
                <w:sz w:val="20"/>
                <w:szCs w:val="20"/>
              </w:rPr>
              <w:t xml:space="preserve"> </w:t>
            </w:r>
            <w:r w:rsidRPr="00E820E7">
              <w:rPr>
                <w:sz w:val="20"/>
                <w:szCs w:val="20"/>
              </w:rPr>
              <w:t>core objectives and the criteria for 3 of</w:t>
            </w:r>
            <w:r>
              <w:rPr>
                <w:sz w:val="20"/>
                <w:szCs w:val="20"/>
              </w:rPr>
              <w:t xml:space="preserve"> </w:t>
            </w:r>
            <w:r w:rsidRPr="00E820E7">
              <w:rPr>
                <w:sz w:val="20"/>
                <w:szCs w:val="20"/>
              </w:rPr>
              <w:t>the 5 menu objectives. This is a change</w:t>
            </w:r>
            <w:r>
              <w:rPr>
                <w:sz w:val="20"/>
                <w:szCs w:val="20"/>
              </w:rPr>
              <w:t xml:space="preserve"> </w:t>
            </w:r>
            <w:r w:rsidRPr="00E820E7">
              <w:rPr>
                <w:sz w:val="20"/>
                <w:szCs w:val="20"/>
              </w:rPr>
              <w:t>from our current Stage 1 policy where</w:t>
            </w:r>
            <w:r>
              <w:rPr>
                <w:sz w:val="20"/>
                <w:szCs w:val="20"/>
              </w:rPr>
              <w:t xml:space="preserve"> </w:t>
            </w:r>
            <w:r w:rsidRPr="00E820E7">
              <w:rPr>
                <w:sz w:val="20"/>
                <w:szCs w:val="20"/>
              </w:rPr>
              <w:t>an EP could reduce by the number of</w:t>
            </w:r>
            <w:r>
              <w:rPr>
                <w:sz w:val="20"/>
                <w:szCs w:val="20"/>
              </w:rPr>
              <w:t xml:space="preserve"> </w:t>
            </w:r>
            <w:r w:rsidRPr="00E820E7">
              <w:rPr>
                <w:sz w:val="20"/>
                <w:szCs w:val="20"/>
              </w:rPr>
              <w:t>exclusions applicable to the EP the</w:t>
            </w:r>
            <w:r>
              <w:rPr>
                <w:sz w:val="20"/>
                <w:szCs w:val="20"/>
              </w:rPr>
              <w:t xml:space="preserve"> </w:t>
            </w:r>
            <w:r w:rsidRPr="00E820E7">
              <w:rPr>
                <w:sz w:val="20"/>
                <w:szCs w:val="20"/>
              </w:rPr>
              <w:t>number of menu set objectives that the</w:t>
            </w:r>
            <w:r>
              <w:rPr>
                <w:sz w:val="20"/>
                <w:szCs w:val="20"/>
              </w:rPr>
              <w:t xml:space="preserve"> </w:t>
            </w:r>
            <w:r w:rsidRPr="00E820E7">
              <w:rPr>
                <w:sz w:val="20"/>
                <w:szCs w:val="20"/>
              </w:rPr>
              <w:t>EP would otherwise need to meet. We</w:t>
            </w:r>
            <w:r>
              <w:rPr>
                <w:sz w:val="20"/>
                <w:szCs w:val="20"/>
              </w:rPr>
              <w:t xml:space="preserve"> </w:t>
            </w:r>
            <w:r w:rsidRPr="00E820E7">
              <w:rPr>
                <w:sz w:val="20"/>
                <w:szCs w:val="20"/>
              </w:rPr>
              <w:t>received feedback on Stage 1 that we</w:t>
            </w:r>
            <w:r>
              <w:rPr>
                <w:sz w:val="20"/>
                <w:szCs w:val="20"/>
              </w:rPr>
              <w:t xml:space="preserve"> </w:t>
            </w:r>
            <w:r w:rsidRPr="00E820E7">
              <w:rPr>
                <w:sz w:val="20"/>
                <w:szCs w:val="20"/>
              </w:rPr>
              <w:t>have received from providers and health</w:t>
            </w:r>
            <w:r>
              <w:rPr>
                <w:sz w:val="20"/>
                <w:szCs w:val="20"/>
              </w:rPr>
              <w:t xml:space="preserve"> </w:t>
            </w:r>
            <w:r w:rsidRPr="00E820E7">
              <w:rPr>
                <w:sz w:val="20"/>
                <w:szCs w:val="20"/>
              </w:rPr>
              <w:t>care associations leads us to believe that</w:t>
            </w:r>
            <w:r>
              <w:rPr>
                <w:sz w:val="20"/>
                <w:szCs w:val="20"/>
              </w:rPr>
              <w:t xml:space="preserve"> </w:t>
            </w:r>
            <w:r w:rsidRPr="00E820E7">
              <w:rPr>
                <w:sz w:val="20"/>
                <w:szCs w:val="20"/>
              </w:rPr>
              <w:t>most EPs had difficulty understanding</w:t>
            </w:r>
            <w:r>
              <w:rPr>
                <w:sz w:val="20"/>
                <w:szCs w:val="20"/>
              </w:rPr>
              <w:t xml:space="preserve"> </w:t>
            </w:r>
            <w:r w:rsidRPr="00E820E7">
              <w:rPr>
                <w:sz w:val="20"/>
                <w:szCs w:val="20"/>
              </w:rPr>
              <w:t>the concept of deferral of a menu</w:t>
            </w:r>
            <w:r>
              <w:rPr>
                <w:sz w:val="20"/>
                <w:szCs w:val="20"/>
              </w:rPr>
              <w:t xml:space="preserve"> </w:t>
            </w:r>
            <w:r w:rsidRPr="00E820E7">
              <w:rPr>
                <w:sz w:val="20"/>
                <w:szCs w:val="20"/>
              </w:rPr>
              <w:t>objective in Stage 1, so we are proposing</w:t>
            </w:r>
            <w:r>
              <w:rPr>
                <w:sz w:val="20"/>
                <w:szCs w:val="20"/>
              </w:rPr>
              <w:t xml:space="preserve"> </w:t>
            </w:r>
            <w:r w:rsidRPr="00E820E7">
              <w:rPr>
                <w:sz w:val="20"/>
                <w:szCs w:val="20"/>
              </w:rPr>
              <w:t>this change for Stage 2, as well as for</w:t>
            </w:r>
            <w:r>
              <w:rPr>
                <w:sz w:val="20"/>
                <w:szCs w:val="20"/>
              </w:rPr>
              <w:t xml:space="preserve"> </w:t>
            </w:r>
            <w:r w:rsidRPr="00E820E7">
              <w:rPr>
                <w:sz w:val="20"/>
                <w:szCs w:val="20"/>
              </w:rPr>
              <w:t>Stage 1 beginning in 2014, to make the</w:t>
            </w:r>
            <w:r>
              <w:rPr>
                <w:sz w:val="20"/>
                <w:szCs w:val="20"/>
              </w:rPr>
              <w:t xml:space="preserve"> </w:t>
            </w:r>
            <w:r w:rsidRPr="00E820E7">
              <w:rPr>
                <w:sz w:val="20"/>
                <w:szCs w:val="20"/>
              </w:rPr>
              <w:t>selection of menu objectives easier for</w:t>
            </w:r>
            <w:r>
              <w:rPr>
                <w:sz w:val="20"/>
                <w:szCs w:val="20"/>
              </w:rPr>
              <w:t xml:space="preserve"> </w:t>
            </w:r>
            <w:r w:rsidRPr="00E820E7">
              <w:rPr>
                <w:sz w:val="20"/>
                <w:szCs w:val="20"/>
              </w:rPr>
              <w:t>EPs. We are proposing this change</w:t>
            </w:r>
            <w:r>
              <w:rPr>
                <w:sz w:val="20"/>
                <w:szCs w:val="20"/>
              </w:rPr>
              <w:t xml:space="preserve"> </w:t>
            </w:r>
            <w:r w:rsidRPr="00E820E7">
              <w:rPr>
                <w:sz w:val="20"/>
                <w:szCs w:val="20"/>
              </w:rPr>
              <w:t>because we are concerned that under</w:t>
            </w:r>
            <w:r>
              <w:rPr>
                <w:sz w:val="20"/>
                <w:szCs w:val="20"/>
              </w:rPr>
              <w:t xml:space="preserve"> </w:t>
            </w:r>
            <w:r w:rsidRPr="00E820E7">
              <w:rPr>
                <w:sz w:val="20"/>
                <w:szCs w:val="20"/>
              </w:rPr>
              <w:t>the current Stage 1 requirements EPs</w:t>
            </w:r>
            <w:r>
              <w:rPr>
                <w:sz w:val="20"/>
                <w:szCs w:val="20"/>
              </w:rPr>
              <w:t xml:space="preserve"> </w:t>
            </w:r>
            <w:r w:rsidRPr="00E820E7">
              <w:rPr>
                <w:sz w:val="20"/>
                <w:szCs w:val="20"/>
              </w:rPr>
              <w:t>could select and exclude menu</w:t>
            </w:r>
            <w:r>
              <w:rPr>
                <w:sz w:val="20"/>
                <w:szCs w:val="20"/>
              </w:rPr>
              <w:t xml:space="preserve"> </w:t>
            </w:r>
            <w:r w:rsidRPr="00E820E7">
              <w:rPr>
                <w:sz w:val="20"/>
                <w:szCs w:val="20"/>
              </w:rPr>
              <w:t>objectives when there are other menu</w:t>
            </w:r>
            <w:r>
              <w:rPr>
                <w:sz w:val="20"/>
                <w:szCs w:val="20"/>
              </w:rPr>
              <w:t xml:space="preserve"> </w:t>
            </w:r>
            <w:r w:rsidRPr="00E820E7">
              <w:rPr>
                <w:sz w:val="20"/>
                <w:szCs w:val="20"/>
              </w:rPr>
              <w:t>objectives they can legitimately meet</w:t>
            </w:r>
            <w:r>
              <w:rPr>
                <w:sz w:val="20"/>
                <w:szCs w:val="20"/>
              </w:rPr>
              <w:t xml:space="preserve">, </w:t>
            </w:r>
            <w:r w:rsidRPr="00E820E7">
              <w:rPr>
                <w:sz w:val="20"/>
                <w:szCs w:val="20"/>
              </w:rPr>
              <w:t>thereby making it easier for them to</w:t>
            </w:r>
            <w:r>
              <w:rPr>
                <w:sz w:val="20"/>
                <w:szCs w:val="20"/>
              </w:rPr>
              <w:t xml:space="preserve"> </w:t>
            </w:r>
            <w:r w:rsidRPr="00E820E7">
              <w:rPr>
                <w:sz w:val="20"/>
                <w:szCs w:val="20"/>
              </w:rPr>
              <w:t>demonstrate meaningful use than EPs</w:t>
            </w:r>
            <w:r>
              <w:rPr>
                <w:sz w:val="20"/>
                <w:szCs w:val="20"/>
              </w:rPr>
              <w:t xml:space="preserve"> </w:t>
            </w:r>
            <w:r w:rsidRPr="00E820E7">
              <w:rPr>
                <w:sz w:val="20"/>
                <w:szCs w:val="20"/>
              </w:rPr>
              <w:t>who attempt to legitimately meet the</w:t>
            </w:r>
            <w:r>
              <w:rPr>
                <w:sz w:val="20"/>
                <w:szCs w:val="20"/>
              </w:rPr>
              <w:t xml:space="preserve"> </w:t>
            </w:r>
            <w:r w:rsidRPr="00E820E7">
              <w:rPr>
                <w:sz w:val="20"/>
                <w:szCs w:val="20"/>
              </w:rPr>
              <w:t>full complement of menu objectives.</w:t>
            </w:r>
          </w:p>
        </w:tc>
      </w:tr>
      <w:tr w:rsidR="00626C3A" w:rsidRPr="00D7704E" w:rsidTr="00CF23E2">
        <w:trPr>
          <w:trHeight w:val="57"/>
        </w:trPr>
        <w:tc>
          <w:tcPr>
            <w:tcW w:w="14325" w:type="dxa"/>
            <w:gridSpan w:val="2"/>
            <w:tcBorders>
              <w:bottom w:val="single" w:sz="12" w:space="0" w:color="4F81BD" w:themeColor="accent1"/>
            </w:tcBorders>
            <w:shd w:val="clear" w:color="auto" w:fill="auto"/>
          </w:tcPr>
          <w:p w:rsidR="00626C3A" w:rsidRPr="009349E3" w:rsidRDefault="00626C3A" w:rsidP="00CF23E2">
            <w:pPr>
              <w:spacing w:after="0" w:line="240" w:lineRule="auto"/>
              <w:rPr>
                <w:rFonts w:eastAsia="Times New Roman"/>
                <w:bCs/>
                <w:sz w:val="20"/>
                <w:szCs w:val="20"/>
              </w:rPr>
            </w:pPr>
            <w:r w:rsidRPr="00483A95">
              <w:rPr>
                <w:rFonts w:eastAsia="Times New Roman" w:cs="Times New Roman"/>
                <w:b/>
                <w:bCs/>
                <w:color w:val="365F91" w:themeColor="accent1" w:themeShade="BF"/>
                <w:sz w:val="20"/>
                <w:szCs w:val="20"/>
              </w:rPr>
              <w:t>Comments</w:t>
            </w:r>
            <w:r w:rsidRPr="00483A95">
              <w:rPr>
                <w:rFonts w:eastAsia="Times New Roman" w:cs="Times New Roman"/>
                <w:b/>
                <w:bCs/>
                <w:sz w:val="20"/>
                <w:szCs w:val="20"/>
              </w:rPr>
              <w:br/>
            </w:r>
            <w:r w:rsidRPr="00D63E83">
              <w:rPr>
                <w:rFonts w:eastAsia="Times New Roman" w:cs="Times New Roman"/>
                <w:bCs/>
                <w:sz w:val="20"/>
                <w:szCs w:val="20"/>
              </w:rPr>
              <w:t>Strong support for this new approach.</w:t>
            </w:r>
          </w:p>
        </w:tc>
      </w:tr>
    </w:tbl>
    <w:p w:rsidR="00626C3A" w:rsidRDefault="00626C3A" w:rsidP="00626C3A">
      <w:r>
        <w:br w:type="page"/>
      </w:r>
    </w:p>
    <w:tbl>
      <w:tblPr>
        <w:tblpPr w:leftFromText="180" w:rightFromText="180" w:tblpY="542"/>
        <w:tblW w:w="1432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2355"/>
        <w:gridCol w:w="11970"/>
      </w:tblGrid>
      <w:tr w:rsidR="00626C3A" w:rsidRPr="00D7704E" w:rsidTr="00CF23E2">
        <w:trPr>
          <w:trHeight w:val="312"/>
        </w:trPr>
        <w:tc>
          <w:tcPr>
            <w:tcW w:w="2355"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Pr>
                <w:rFonts w:ascii="Garamond" w:eastAsia="Times New Roman" w:hAnsi="Garamond" w:cs="Times New Roman"/>
                <w:b/>
                <w:bCs/>
                <w:color w:val="FFFFFF"/>
                <w:sz w:val="20"/>
                <w:szCs w:val="20"/>
              </w:rPr>
              <w:lastRenderedPageBreak/>
              <w:t>General Comment Topic</w:t>
            </w:r>
          </w:p>
        </w:tc>
        <w:tc>
          <w:tcPr>
            <w:tcW w:w="11970"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626C3A" w:rsidRPr="00D7704E" w:rsidTr="00CF23E2">
        <w:trPr>
          <w:trHeight w:val="1457"/>
        </w:trPr>
        <w:tc>
          <w:tcPr>
            <w:tcW w:w="2355" w:type="dxa"/>
            <w:tcBorders>
              <w:bottom w:val="single" w:sz="12" w:space="0" w:color="4F81BD" w:themeColor="accent1"/>
            </w:tcBorders>
            <w:shd w:val="clear" w:color="auto" w:fill="auto"/>
            <w:noWrap/>
          </w:tcPr>
          <w:p w:rsidR="00626C3A" w:rsidRPr="00DA3FF2" w:rsidRDefault="00626C3A" w:rsidP="00CF23E2">
            <w:pPr>
              <w:spacing w:after="0" w:line="240" w:lineRule="auto"/>
              <w:rPr>
                <w:rFonts w:eastAsia="Times New Roman"/>
                <w:bCs/>
                <w:sz w:val="20"/>
                <w:szCs w:val="20"/>
              </w:rPr>
            </w:pPr>
            <w:r w:rsidRPr="00DA3FF2">
              <w:rPr>
                <w:rFonts w:eastAsia="Times New Roman"/>
                <w:bCs/>
                <w:sz w:val="20"/>
                <w:szCs w:val="20"/>
              </w:rPr>
              <w:t>Stage 2 Core and Menu Objectives</w:t>
            </w:r>
          </w:p>
          <w:p w:rsidR="00626C3A" w:rsidRPr="00D7704E" w:rsidRDefault="00626C3A" w:rsidP="00CF23E2">
            <w:pPr>
              <w:spacing w:after="0" w:line="240" w:lineRule="auto"/>
              <w:rPr>
                <w:rFonts w:eastAsia="Times New Roman" w:cs="Times New Roman"/>
                <w:bCs/>
                <w:sz w:val="20"/>
                <w:szCs w:val="20"/>
              </w:rPr>
            </w:pPr>
          </w:p>
        </w:tc>
        <w:tc>
          <w:tcPr>
            <w:tcW w:w="11970" w:type="dxa"/>
            <w:tcBorders>
              <w:bottom w:val="single" w:sz="12" w:space="0" w:color="4F81BD" w:themeColor="accent1"/>
            </w:tcBorders>
            <w:shd w:val="clear" w:color="auto" w:fill="auto"/>
            <w:noWrap/>
          </w:tcPr>
          <w:p w:rsidR="00626C3A" w:rsidRPr="00D7704E" w:rsidRDefault="00626C3A" w:rsidP="00CF23E2">
            <w:pPr>
              <w:rPr>
                <w:rFonts w:eastAsia="Times New Roman" w:cs="Times New Roman"/>
                <w:bCs/>
                <w:sz w:val="20"/>
                <w:szCs w:val="20"/>
              </w:rPr>
            </w:pPr>
            <w:r w:rsidRPr="00DA3FF2">
              <w:rPr>
                <w:rFonts w:eastAsia="Times New Roman"/>
                <w:bCs/>
                <w:sz w:val="20"/>
                <w:szCs w:val="20"/>
              </w:rPr>
              <w:t xml:space="preserve">In the Stage 1 final rule we outlined Stage 1 criteria, we finalized a separate set of core objectives and menu objectives for both EPs and eligible hospitals and CAHs. EPs and hospitals must meet or qualify for </w:t>
            </w:r>
            <w:proofErr w:type="gramStart"/>
            <w:r w:rsidRPr="00DA3FF2">
              <w:rPr>
                <w:rFonts w:eastAsia="Times New Roman"/>
                <w:bCs/>
                <w:sz w:val="20"/>
                <w:szCs w:val="20"/>
              </w:rPr>
              <w:t>an exclusion</w:t>
            </w:r>
            <w:proofErr w:type="gramEnd"/>
            <w:r w:rsidRPr="00DA3FF2">
              <w:rPr>
                <w:rFonts w:eastAsia="Times New Roman"/>
                <w:bCs/>
                <w:sz w:val="20"/>
                <w:szCs w:val="20"/>
              </w:rPr>
              <w:t xml:space="preserve"> to all of the core objectives and 5 out of the 10 menu measures in order to qualify for an EHR incentive payment. In this proposed rule, we propose to maintain the same core-menu structure for the program for Stage 2. We propose that EPs must meet or qualify for </w:t>
            </w:r>
            <w:proofErr w:type="gramStart"/>
            <w:r w:rsidRPr="00DA3FF2">
              <w:rPr>
                <w:rFonts w:eastAsia="Times New Roman"/>
                <w:bCs/>
                <w:sz w:val="20"/>
                <w:szCs w:val="20"/>
              </w:rPr>
              <w:t>an exclusion</w:t>
            </w:r>
            <w:proofErr w:type="gramEnd"/>
            <w:r w:rsidRPr="00DA3FF2">
              <w:rPr>
                <w:rFonts w:eastAsia="Times New Roman"/>
                <w:bCs/>
                <w:sz w:val="20"/>
                <w:szCs w:val="20"/>
              </w:rPr>
              <w:t xml:space="preserve"> to 17 core objectives and 3 of 5 menu objectives. We propose that eligible hospitals and CAHs must meet or qualify for </w:t>
            </w:r>
            <w:proofErr w:type="gramStart"/>
            <w:r w:rsidRPr="00DA3FF2">
              <w:rPr>
                <w:rFonts w:eastAsia="Times New Roman"/>
                <w:bCs/>
                <w:sz w:val="20"/>
                <w:szCs w:val="20"/>
              </w:rPr>
              <w:t>an exclusion</w:t>
            </w:r>
            <w:proofErr w:type="gramEnd"/>
            <w:r w:rsidRPr="00DA3FF2">
              <w:rPr>
                <w:rFonts w:eastAsia="Times New Roman"/>
                <w:bCs/>
                <w:sz w:val="20"/>
                <w:szCs w:val="20"/>
              </w:rPr>
              <w:t xml:space="preserve"> to 16 core objectives and 2 of 4 menu objectives. </w:t>
            </w:r>
            <w:r>
              <w:rPr>
                <w:rFonts w:eastAsia="Times New Roman"/>
                <w:bCs/>
                <w:sz w:val="20"/>
                <w:szCs w:val="20"/>
              </w:rPr>
              <w:t>FR 13700</w:t>
            </w:r>
          </w:p>
        </w:tc>
      </w:tr>
      <w:tr w:rsidR="00626C3A" w:rsidRPr="00D7704E" w:rsidTr="00CF23E2">
        <w:trPr>
          <w:trHeight w:val="780"/>
        </w:trPr>
        <w:tc>
          <w:tcPr>
            <w:tcW w:w="14325" w:type="dxa"/>
            <w:gridSpan w:val="2"/>
            <w:tcBorders>
              <w:bottom w:val="single" w:sz="12" w:space="0" w:color="4F81BD" w:themeColor="accent1"/>
            </w:tcBorders>
            <w:shd w:val="clear" w:color="auto" w:fill="auto"/>
          </w:tcPr>
          <w:p w:rsidR="00626C3A" w:rsidRPr="00DA3FF2" w:rsidRDefault="00626C3A" w:rsidP="00CF23E2">
            <w:pPr>
              <w:spacing w:after="0" w:line="240" w:lineRule="auto"/>
              <w:rPr>
                <w:bCs/>
                <w:sz w:val="20"/>
                <w:szCs w:val="20"/>
              </w:rPr>
            </w:pPr>
            <w:r w:rsidRPr="00483A95">
              <w:rPr>
                <w:rFonts w:eastAsia="Times New Roman" w:cs="Times New Roman"/>
                <w:b/>
                <w:bCs/>
                <w:color w:val="365F91" w:themeColor="accent1" w:themeShade="BF"/>
                <w:sz w:val="20"/>
                <w:szCs w:val="20"/>
              </w:rPr>
              <w:t>Comments</w:t>
            </w:r>
            <w:r w:rsidRPr="00483A95">
              <w:rPr>
                <w:rFonts w:eastAsia="Times New Roman" w:cs="Times New Roman"/>
                <w:b/>
                <w:bCs/>
                <w:sz w:val="20"/>
                <w:szCs w:val="20"/>
              </w:rPr>
              <w:br/>
            </w:r>
            <w:r w:rsidRPr="00DA3FF2">
              <w:rPr>
                <w:bCs/>
                <w:sz w:val="20"/>
                <w:szCs w:val="20"/>
              </w:rPr>
              <w:t xml:space="preserve">We agree with use of the menu approach to provide: </w:t>
            </w:r>
          </w:p>
          <w:p w:rsidR="00626C3A" w:rsidRPr="00DA3FF2" w:rsidRDefault="00626C3A" w:rsidP="00CF23E2">
            <w:pPr>
              <w:numPr>
                <w:ilvl w:val="0"/>
                <w:numId w:val="12"/>
              </w:numPr>
              <w:spacing w:after="0" w:line="240" w:lineRule="auto"/>
              <w:rPr>
                <w:bCs/>
                <w:sz w:val="20"/>
                <w:szCs w:val="20"/>
              </w:rPr>
            </w:pPr>
            <w:r w:rsidRPr="00DA3FF2">
              <w:rPr>
                <w:bCs/>
                <w:sz w:val="20"/>
                <w:szCs w:val="20"/>
              </w:rPr>
              <w:t>Flexibility</w:t>
            </w:r>
          </w:p>
          <w:p w:rsidR="00626C3A" w:rsidRPr="00DA3FF2" w:rsidRDefault="00626C3A" w:rsidP="00CF23E2">
            <w:pPr>
              <w:numPr>
                <w:ilvl w:val="0"/>
                <w:numId w:val="12"/>
              </w:numPr>
              <w:spacing w:after="0" w:line="240" w:lineRule="auto"/>
              <w:rPr>
                <w:bCs/>
                <w:sz w:val="20"/>
                <w:szCs w:val="20"/>
              </w:rPr>
            </w:pPr>
            <w:r w:rsidRPr="00DA3FF2">
              <w:rPr>
                <w:bCs/>
                <w:sz w:val="20"/>
                <w:szCs w:val="20"/>
              </w:rPr>
              <w:t>Strong signals with lead time to develop/implement new functionality</w:t>
            </w:r>
          </w:p>
          <w:p w:rsidR="00626C3A" w:rsidRPr="00483A95" w:rsidRDefault="00626C3A" w:rsidP="00CF23E2">
            <w:pPr>
              <w:numPr>
                <w:ilvl w:val="0"/>
                <w:numId w:val="12"/>
              </w:numPr>
              <w:spacing w:after="0" w:line="240" w:lineRule="auto"/>
              <w:rPr>
                <w:rFonts w:eastAsia="Times New Roman"/>
                <w:bCs/>
                <w:sz w:val="20"/>
                <w:szCs w:val="20"/>
              </w:rPr>
            </w:pPr>
            <w:r w:rsidRPr="00DA3FF2">
              <w:rPr>
                <w:bCs/>
                <w:sz w:val="20"/>
                <w:szCs w:val="20"/>
              </w:rPr>
              <w:t xml:space="preserve">Accommodation for all-or-nothing qualification rule </w:t>
            </w:r>
          </w:p>
        </w:tc>
      </w:tr>
      <w:tr w:rsidR="00626C3A" w:rsidRPr="00D7704E" w:rsidTr="00CF23E2">
        <w:trPr>
          <w:trHeight w:val="312"/>
        </w:trPr>
        <w:tc>
          <w:tcPr>
            <w:tcW w:w="2355"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Pr>
                <w:rFonts w:ascii="Garamond" w:eastAsia="Times New Roman" w:hAnsi="Garamond" w:cs="Times New Roman"/>
                <w:b/>
                <w:bCs/>
                <w:color w:val="FFFFFF"/>
                <w:sz w:val="20"/>
                <w:szCs w:val="20"/>
              </w:rPr>
              <w:t>General Comment Topic</w:t>
            </w:r>
          </w:p>
        </w:tc>
        <w:tc>
          <w:tcPr>
            <w:tcW w:w="11970"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626C3A" w:rsidRPr="00D7704E" w:rsidTr="00CF23E2">
        <w:trPr>
          <w:trHeight w:val="647"/>
        </w:trPr>
        <w:tc>
          <w:tcPr>
            <w:tcW w:w="2355" w:type="dxa"/>
            <w:tcBorders>
              <w:bottom w:val="single" w:sz="12" w:space="0" w:color="4F81BD" w:themeColor="accent1"/>
            </w:tcBorders>
            <w:shd w:val="clear" w:color="auto" w:fill="auto"/>
            <w:noWrap/>
          </w:tcPr>
          <w:p w:rsidR="00626C3A" w:rsidRPr="00D7704E" w:rsidRDefault="00626C3A" w:rsidP="00CF23E2">
            <w:pPr>
              <w:spacing w:after="0" w:line="240" w:lineRule="auto"/>
              <w:rPr>
                <w:rFonts w:eastAsia="Times New Roman" w:cs="Times New Roman"/>
                <w:bCs/>
                <w:sz w:val="20"/>
                <w:szCs w:val="20"/>
              </w:rPr>
            </w:pPr>
            <w:r w:rsidRPr="00DA3FF2">
              <w:rPr>
                <w:rFonts w:eastAsia="Times New Roman"/>
                <w:bCs/>
                <w:sz w:val="20"/>
                <w:szCs w:val="20"/>
              </w:rPr>
              <w:t>CPOE - licensed healthcare professionals</w:t>
            </w:r>
          </w:p>
        </w:tc>
        <w:tc>
          <w:tcPr>
            <w:tcW w:w="11970" w:type="dxa"/>
            <w:tcBorders>
              <w:bottom w:val="single" w:sz="12" w:space="0" w:color="4F81BD" w:themeColor="accent1"/>
            </w:tcBorders>
            <w:shd w:val="clear" w:color="auto" w:fill="auto"/>
            <w:noWrap/>
          </w:tcPr>
          <w:p w:rsidR="00626C3A" w:rsidRPr="00D7704E" w:rsidRDefault="00626C3A" w:rsidP="00CF23E2">
            <w:pPr>
              <w:rPr>
                <w:rFonts w:eastAsia="Times New Roman" w:cs="Times New Roman"/>
                <w:bCs/>
                <w:sz w:val="20"/>
                <w:szCs w:val="20"/>
              </w:rPr>
            </w:pPr>
            <w:r w:rsidRPr="00DA3FF2">
              <w:rPr>
                <w:rFonts w:eastAsia="Times New Roman"/>
                <w:bCs/>
                <w:sz w:val="20"/>
                <w:szCs w:val="20"/>
              </w:rPr>
              <w:t xml:space="preserve">With this new proposal, we invite public comment on whether the stipulation that the CPOE function be used only by licensed healthcare </w:t>
            </w:r>
            <w:proofErr w:type="gramStart"/>
            <w:r w:rsidRPr="00DA3FF2">
              <w:rPr>
                <w:rFonts w:eastAsia="Times New Roman"/>
                <w:bCs/>
                <w:sz w:val="20"/>
                <w:szCs w:val="20"/>
              </w:rPr>
              <w:t>professionals</w:t>
            </w:r>
            <w:proofErr w:type="gramEnd"/>
            <w:r w:rsidRPr="00DA3FF2">
              <w:rPr>
                <w:rFonts w:eastAsia="Times New Roman"/>
                <w:bCs/>
                <w:sz w:val="20"/>
                <w:szCs w:val="20"/>
              </w:rPr>
              <w:t xml:space="preserve"> remains necessary or if CPOE can be expanded to include non licensed healthcare professionals such as scribes.</w:t>
            </w:r>
            <w:r>
              <w:rPr>
                <w:rFonts w:eastAsia="Times New Roman"/>
                <w:bCs/>
                <w:sz w:val="20"/>
                <w:szCs w:val="20"/>
              </w:rPr>
              <w:t xml:space="preserve"> FR13709</w:t>
            </w:r>
          </w:p>
        </w:tc>
      </w:tr>
      <w:tr w:rsidR="00626C3A" w:rsidRPr="00D7704E" w:rsidTr="00CF23E2">
        <w:trPr>
          <w:trHeight w:val="780"/>
        </w:trPr>
        <w:tc>
          <w:tcPr>
            <w:tcW w:w="14325" w:type="dxa"/>
            <w:gridSpan w:val="2"/>
            <w:tcBorders>
              <w:bottom w:val="single" w:sz="12" w:space="0" w:color="4F81BD" w:themeColor="accent1"/>
            </w:tcBorders>
            <w:shd w:val="clear" w:color="auto" w:fill="auto"/>
          </w:tcPr>
          <w:p w:rsidR="00626C3A" w:rsidRDefault="00626C3A" w:rsidP="00CF23E2">
            <w:pPr>
              <w:spacing w:after="0" w:line="240" w:lineRule="auto"/>
              <w:rPr>
                <w:sz w:val="20"/>
                <w:szCs w:val="20"/>
              </w:rPr>
            </w:pPr>
            <w:r w:rsidRPr="00483A95">
              <w:rPr>
                <w:rFonts w:eastAsia="Times New Roman" w:cs="Times New Roman"/>
                <w:b/>
                <w:bCs/>
                <w:color w:val="365F91" w:themeColor="accent1" w:themeShade="BF"/>
                <w:sz w:val="20"/>
                <w:szCs w:val="20"/>
              </w:rPr>
              <w:t>Comments</w:t>
            </w:r>
          </w:p>
          <w:p w:rsidR="00626C3A" w:rsidRPr="00483A95" w:rsidRDefault="00626C3A" w:rsidP="00CF23E2">
            <w:pPr>
              <w:spacing w:after="0" w:line="240" w:lineRule="auto"/>
              <w:rPr>
                <w:rFonts w:eastAsia="Times New Roman"/>
                <w:bCs/>
                <w:sz w:val="20"/>
                <w:szCs w:val="20"/>
              </w:rPr>
            </w:pPr>
            <w:r w:rsidRPr="00DA3FF2">
              <w:rPr>
                <w:bCs/>
                <w:sz w:val="20"/>
                <w:szCs w:val="20"/>
              </w:rPr>
              <w:t xml:space="preserve">The essential feature is that the EP or EH professional be able to </w:t>
            </w:r>
            <w:r>
              <w:rPr>
                <w:bCs/>
                <w:sz w:val="20"/>
                <w:szCs w:val="20"/>
              </w:rPr>
              <w:t xml:space="preserve">view and </w:t>
            </w:r>
            <w:r w:rsidRPr="00DA3FF2">
              <w:rPr>
                <w:bCs/>
                <w:sz w:val="20"/>
                <w:szCs w:val="20"/>
              </w:rPr>
              <w:t xml:space="preserve">act </w:t>
            </w:r>
            <w:r>
              <w:rPr>
                <w:bCs/>
                <w:sz w:val="20"/>
                <w:szCs w:val="20"/>
              </w:rPr>
              <w:t>up</w:t>
            </w:r>
            <w:r w:rsidRPr="00DA3FF2">
              <w:rPr>
                <w:bCs/>
                <w:sz w:val="20"/>
                <w:szCs w:val="20"/>
              </w:rPr>
              <w:t>on the automated decision support and be accountable for the order.</w:t>
            </w:r>
            <w:r>
              <w:rPr>
                <w:bCs/>
                <w:sz w:val="20"/>
                <w:szCs w:val="20"/>
              </w:rPr>
              <w:t xml:space="preserve">  See comments under CPOE.</w:t>
            </w:r>
          </w:p>
        </w:tc>
      </w:tr>
      <w:tr w:rsidR="00626C3A" w:rsidRPr="00D7704E" w:rsidTr="00CF23E2">
        <w:trPr>
          <w:trHeight w:val="312"/>
        </w:trPr>
        <w:tc>
          <w:tcPr>
            <w:tcW w:w="2355"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Pr>
                <w:rFonts w:ascii="Garamond" w:eastAsia="Times New Roman" w:hAnsi="Garamond" w:cs="Times New Roman"/>
                <w:b/>
                <w:bCs/>
                <w:color w:val="FFFFFF"/>
                <w:sz w:val="20"/>
                <w:szCs w:val="20"/>
              </w:rPr>
              <w:t>General Comment Topic</w:t>
            </w:r>
          </w:p>
        </w:tc>
        <w:tc>
          <w:tcPr>
            <w:tcW w:w="11970"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626C3A" w:rsidRPr="00D7704E" w:rsidTr="00CF23E2">
        <w:trPr>
          <w:trHeight w:val="773"/>
        </w:trPr>
        <w:tc>
          <w:tcPr>
            <w:tcW w:w="2355" w:type="dxa"/>
            <w:tcBorders>
              <w:bottom w:val="single" w:sz="12" w:space="0" w:color="4F81BD" w:themeColor="accent1"/>
            </w:tcBorders>
            <w:shd w:val="clear" w:color="auto" w:fill="auto"/>
            <w:noWrap/>
          </w:tcPr>
          <w:p w:rsidR="00626C3A" w:rsidRPr="00DA3FF2" w:rsidRDefault="00626C3A" w:rsidP="00CF23E2">
            <w:pPr>
              <w:spacing w:after="0" w:line="240" w:lineRule="auto"/>
              <w:rPr>
                <w:rFonts w:eastAsia="Times New Roman"/>
                <w:bCs/>
                <w:sz w:val="20"/>
                <w:szCs w:val="20"/>
              </w:rPr>
            </w:pPr>
            <w:proofErr w:type="spellStart"/>
            <w:r w:rsidRPr="00DA3FF2">
              <w:rPr>
                <w:rFonts w:eastAsia="Times New Roman"/>
                <w:bCs/>
                <w:sz w:val="20"/>
                <w:szCs w:val="20"/>
              </w:rPr>
              <w:t>eRx</w:t>
            </w:r>
            <w:proofErr w:type="spellEnd"/>
            <w:r w:rsidRPr="00DA3FF2">
              <w:rPr>
                <w:rFonts w:eastAsia="Times New Roman"/>
                <w:bCs/>
                <w:sz w:val="20"/>
                <w:szCs w:val="20"/>
              </w:rPr>
              <w:t xml:space="preserve"> - OTC meds</w:t>
            </w:r>
          </w:p>
          <w:p w:rsidR="00626C3A" w:rsidRPr="00D7704E" w:rsidRDefault="00626C3A" w:rsidP="00CF23E2">
            <w:pPr>
              <w:spacing w:after="0" w:line="240" w:lineRule="auto"/>
              <w:rPr>
                <w:rFonts w:eastAsia="Times New Roman" w:cs="Times New Roman"/>
                <w:bCs/>
                <w:sz w:val="20"/>
                <w:szCs w:val="20"/>
              </w:rPr>
            </w:pPr>
          </w:p>
        </w:tc>
        <w:tc>
          <w:tcPr>
            <w:tcW w:w="11970" w:type="dxa"/>
            <w:tcBorders>
              <w:bottom w:val="single" w:sz="12" w:space="0" w:color="4F81BD" w:themeColor="accent1"/>
            </w:tcBorders>
            <w:shd w:val="clear" w:color="auto" w:fill="auto"/>
            <w:noWrap/>
          </w:tcPr>
          <w:p w:rsidR="00626C3A" w:rsidRPr="00D7704E" w:rsidRDefault="00626C3A" w:rsidP="00CF23E2">
            <w:pPr>
              <w:rPr>
                <w:rFonts w:eastAsia="Times New Roman" w:cs="Times New Roman"/>
                <w:bCs/>
                <w:sz w:val="20"/>
                <w:szCs w:val="20"/>
              </w:rPr>
            </w:pPr>
            <w:r w:rsidRPr="00DA3FF2">
              <w:rPr>
                <w:rFonts w:eastAsia="Times New Roman"/>
                <w:bCs/>
                <w:sz w:val="20"/>
                <w:szCs w:val="20"/>
              </w:rPr>
              <w:t>We do not believe that OTC medicines will be routinely electronically prescribed and propose to continue to exclude them from the definition of a prescription. However, we encourage public comment on this assumption</w:t>
            </w:r>
            <w:r>
              <w:rPr>
                <w:rFonts w:eastAsia="Times New Roman"/>
                <w:bCs/>
                <w:sz w:val="20"/>
                <w:szCs w:val="20"/>
              </w:rPr>
              <w:t xml:space="preserve"> FR 13710</w:t>
            </w:r>
          </w:p>
        </w:tc>
      </w:tr>
      <w:tr w:rsidR="00626C3A" w:rsidRPr="00D7704E" w:rsidTr="00CF23E2">
        <w:trPr>
          <w:trHeight w:val="780"/>
        </w:trPr>
        <w:tc>
          <w:tcPr>
            <w:tcW w:w="14325" w:type="dxa"/>
            <w:gridSpan w:val="2"/>
            <w:tcBorders>
              <w:bottom w:val="single" w:sz="12" w:space="0" w:color="4F81BD" w:themeColor="accent1"/>
            </w:tcBorders>
            <w:shd w:val="clear" w:color="auto" w:fill="auto"/>
          </w:tcPr>
          <w:p w:rsidR="00626C3A" w:rsidRDefault="00626C3A" w:rsidP="00CF23E2">
            <w:pPr>
              <w:spacing w:after="0" w:line="240" w:lineRule="auto"/>
              <w:rPr>
                <w:sz w:val="20"/>
                <w:szCs w:val="20"/>
              </w:rPr>
            </w:pPr>
            <w:r w:rsidRPr="00483A95">
              <w:rPr>
                <w:rFonts w:eastAsia="Times New Roman" w:cs="Times New Roman"/>
                <w:b/>
                <w:bCs/>
                <w:color w:val="365F91" w:themeColor="accent1" w:themeShade="BF"/>
                <w:sz w:val="20"/>
                <w:szCs w:val="20"/>
              </w:rPr>
              <w:t>Comments</w:t>
            </w:r>
            <w:r w:rsidRPr="00483A95">
              <w:rPr>
                <w:rFonts w:eastAsia="Times New Roman" w:cs="Times New Roman"/>
                <w:b/>
                <w:bCs/>
                <w:sz w:val="20"/>
                <w:szCs w:val="20"/>
              </w:rPr>
              <w:br/>
            </w:r>
          </w:p>
          <w:p w:rsidR="00626C3A" w:rsidRPr="00DA3FF2" w:rsidRDefault="00626C3A" w:rsidP="00CF23E2">
            <w:pPr>
              <w:spacing w:after="0" w:line="240" w:lineRule="auto"/>
              <w:rPr>
                <w:bCs/>
                <w:sz w:val="20"/>
                <w:szCs w:val="20"/>
              </w:rPr>
            </w:pPr>
            <w:r w:rsidRPr="00DA3FF2">
              <w:rPr>
                <w:bCs/>
                <w:sz w:val="20"/>
                <w:szCs w:val="20"/>
              </w:rPr>
              <w:t>We believe it is important for EHRs to be able to capture OTC medicines (without transmitting to pharmacy) and to ensure that these medicines can be used to detect drug-drug interactions.  We agree, however, that for measurement purposes, OTCs can continue to be excluded from the denominator.</w:t>
            </w:r>
          </w:p>
          <w:p w:rsidR="00626C3A" w:rsidRPr="00483A95" w:rsidRDefault="00626C3A" w:rsidP="00CF23E2">
            <w:pPr>
              <w:spacing w:after="0" w:line="240" w:lineRule="auto"/>
              <w:rPr>
                <w:rFonts w:eastAsia="Times New Roman"/>
                <w:bCs/>
                <w:sz w:val="20"/>
                <w:szCs w:val="20"/>
              </w:rPr>
            </w:pPr>
          </w:p>
        </w:tc>
      </w:tr>
    </w:tbl>
    <w:p w:rsidR="00626C3A" w:rsidRDefault="00626C3A" w:rsidP="00626C3A">
      <w:r>
        <w:br w:type="page"/>
      </w:r>
    </w:p>
    <w:tbl>
      <w:tblPr>
        <w:tblpPr w:leftFromText="180" w:rightFromText="180" w:horzAnchor="margin" w:tblpY="617"/>
        <w:tblW w:w="1432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2355"/>
        <w:gridCol w:w="11970"/>
      </w:tblGrid>
      <w:tr w:rsidR="00626C3A" w:rsidRPr="00D7704E" w:rsidTr="00CF23E2">
        <w:trPr>
          <w:trHeight w:val="312"/>
        </w:trPr>
        <w:tc>
          <w:tcPr>
            <w:tcW w:w="2355"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Pr>
                <w:rFonts w:ascii="Garamond" w:eastAsia="Times New Roman" w:hAnsi="Garamond" w:cs="Times New Roman"/>
                <w:b/>
                <w:bCs/>
                <w:color w:val="FFFFFF"/>
                <w:sz w:val="20"/>
                <w:szCs w:val="20"/>
              </w:rPr>
              <w:lastRenderedPageBreak/>
              <w:t>General Comment Topic</w:t>
            </w:r>
          </w:p>
        </w:tc>
        <w:tc>
          <w:tcPr>
            <w:tcW w:w="11970"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626C3A" w:rsidRPr="00D7704E" w:rsidTr="00CF23E2">
        <w:trPr>
          <w:trHeight w:val="1700"/>
        </w:trPr>
        <w:tc>
          <w:tcPr>
            <w:tcW w:w="2355" w:type="dxa"/>
            <w:tcBorders>
              <w:bottom w:val="single" w:sz="12" w:space="0" w:color="4F81BD" w:themeColor="accent1"/>
            </w:tcBorders>
            <w:shd w:val="clear" w:color="auto" w:fill="auto"/>
            <w:noWrap/>
          </w:tcPr>
          <w:p w:rsidR="00626C3A" w:rsidRPr="00DA3FF2" w:rsidRDefault="00626C3A" w:rsidP="00CF23E2">
            <w:pPr>
              <w:spacing w:after="0" w:line="240" w:lineRule="auto"/>
              <w:rPr>
                <w:rFonts w:eastAsia="Times New Roman"/>
                <w:bCs/>
                <w:sz w:val="20"/>
                <w:szCs w:val="20"/>
              </w:rPr>
            </w:pPr>
            <w:r w:rsidRPr="00DA3FF2">
              <w:rPr>
                <w:rFonts w:eastAsia="Times New Roman"/>
                <w:bCs/>
                <w:sz w:val="20"/>
                <w:szCs w:val="20"/>
              </w:rPr>
              <w:t>Demographics - disability status</w:t>
            </w:r>
          </w:p>
          <w:p w:rsidR="00626C3A" w:rsidRPr="00D7704E" w:rsidRDefault="00626C3A" w:rsidP="00CF23E2">
            <w:pPr>
              <w:spacing w:after="0" w:line="240" w:lineRule="auto"/>
              <w:rPr>
                <w:rFonts w:eastAsia="Times New Roman" w:cs="Times New Roman"/>
                <w:bCs/>
                <w:sz w:val="20"/>
                <w:szCs w:val="20"/>
              </w:rPr>
            </w:pPr>
          </w:p>
        </w:tc>
        <w:tc>
          <w:tcPr>
            <w:tcW w:w="11970" w:type="dxa"/>
            <w:tcBorders>
              <w:bottom w:val="single" w:sz="12" w:space="0" w:color="4F81BD" w:themeColor="accent1"/>
            </w:tcBorders>
            <w:shd w:val="clear" w:color="auto" w:fill="auto"/>
            <w:noWrap/>
          </w:tcPr>
          <w:p w:rsidR="00626C3A" w:rsidRPr="00D7704E" w:rsidRDefault="00626C3A" w:rsidP="00CF23E2">
            <w:pPr>
              <w:rPr>
                <w:rFonts w:eastAsia="Times New Roman" w:cs="Times New Roman"/>
                <w:bCs/>
                <w:sz w:val="20"/>
                <w:szCs w:val="20"/>
              </w:rPr>
            </w:pPr>
            <w:r w:rsidRPr="00DA3FF2">
              <w:rPr>
                <w:rFonts w:eastAsia="Times New Roman"/>
                <w:bCs/>
                <w:sz w:val="20"/>
                <w:szCs w:val="20"/>
              </w:rPr>
              <w:t xml:space="preserve">We encourage public comment on the burden and ability of including disability status for patients as part of the data collection for this objective. We believe that the recording of disability status for certain patients can improve care coordination, and so we are considering making the recording of disability status an option for providers. We seek comment on the burden incorporating such an option would impose on EHR vendors, as well as the burden that collection of this data might impose on EPs, eligible hospitals, and CAHs. </w:t>
            </w:r>
            <w:r>
              <w:rPr>
                <w:rFonts w:eastAsia="Times New Roman"/>
                <w:bCs/>
                <w:sz w:val="20"/>
                <w:szCs w:val="20"/>
              </w:rPr>
              <w:t>FR 13712</w:t>
            </w:r>
          </w:p>
        </w:tc>
      </w:tr>
      <w:tr w:rsidR="00626C3A" w:rsidRPr="00D7704E" w:rsidTr="00CF23E2">
        <w:trPr>
          <w:trHeight w:val="780"/>
        </w:trPr>
        <w:tc>
          <w:tcPr>
            <w:tcW w:w="14325" w:type="dxa"/>
            <w:gridSpan w:val="2"/>
            <w:tcBorders>
              <w:bottom w:val="single" w:sz="12" w:space="0" w:color="4F81BD" w:themeColor="accent1"/>
            </w:tcBorders>
            <w:shd w:val="clear" w:color="auto" w:fill="auto"/>
          </w:tcPr>
          <w:p w:rsidR="00626C3A" w:rsidRPr="00DA3FF2" w:rsidRDefault="00626C3A" w:rsidP="00CF23E2">
            <w:pPr>
              <w:spacing w:after="0" w:line="240" w:lineRule="auto"/>
              <w:rPr>
                <w:bCs/>
                <w:sz w:val="20"/>
                <w:szCs w:val="20"/>
              </w:rPr>
            </w:pPr>
            <w:r w:rsidRPr="00483A95">
              <w:rPr>
                <w:rFonts w:eastAsia="Times New Roman" w:cs="Times New Roman"/>
                <w:b/>
                <w:bCs/>
                <w:color w:val="365F91" w:themeColor="accent1" w:themeShade="BF"/>
                <w:sz w:val="20"/>
                <w:szCs w:val="20"/>
              </w:rPr>
              <w:t>Comments</w:t>
            </w:r>
            <w:r w:rsidRPr="00483A95">
              <w:rPr>
                <w:rFonts w:eastAsia="Times New Roman" w:cs="Times New Roman"/>
                <w:b/>
                <w:bCs/>
                <w:sz w:val="20"/>
                <w:szCs w:val="20"/>
              </w:rPr>
              <w:br/>
            </w:r>
            <w:r w:rsidRPr="00DA3FF2">
              <w:rPr>
                <w:bCs/>
                <w:sz w:val="20"/>
                <w:szCs w:val="20"/>
              </w:rPr>
              <w:t>Important signal to send for Stage 3, but data standards do not exist yet.</w:t>
            </w:r>
            <w:r>
              <w:rPr>
                <w:bCs/>
                <w:sz w:val="20"/>
                <w:szCs w:val="20"/>
              </w:rPr>
              <w:t xml:space="preserve"> </w:t>
            </w:r>
            <w:r w:rsidRPr="009349E3">
              <w:rPr>
                <w:bCs/>
                <w:sz w:val="20"/>
                <w:szCs w:val="20"/>
              </w:rPr>
              <w:t xml:space="preserve"> The ACS questions on disability status from the National Health Interview Survey (NHIS) is a logical starting point for collecting demographic information about people with disabilities, since these questions have been widely tested and are in use in multiple government surveys.   The ACS questions were also adopted as the data standard for disability status in the HHS/OMH survey standards.</w:t>
            </w:r>
            <w:r>
              <w:t> </w:t>
            </w:r>
          </w:p>
          <w:p w:rsidR="00626C3A" w:rsidRPr="00483A95" w:rsidRDefault="00626C3A" w:rsidP="00CF23E2">
            <w:pPr>
              <w:spacing w:after="0" w:line="240" w:lineRule="auto"/>
              <w:rPr>
                <w:rFonts w:eastAsia="Times New Roman"/>
                <w:bCs/>
                <w:sz w:val="20"/>
                <w:szCs w:val="20"/>
              </w:rPr>
            </w:pPr>
          </w:p>
        </w:tc>
      </w:tr>
      <w:tr w:rsidR="00626C3A" w:rsidRPr="00D7704E" w:rsidTr="00CF23E2">
        <w:trPr>
          <w:trHeight w:val="312"/>
        </w:trPr>
        <w:tc>
          <w:tcPr>
            <w:tcW w:w="2355"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Pr>
                <w:sz w:val="20"/>
                <w:szCs w:val="20"/>
              </w:rPr>
              <w:br w:type="page"/>
            </w:r>
            <w:r>
              <w:rPr>
                <w:rFonts w:ascii="Garamond" w:eastAsia="Times New Roman" w:hAnsi="Garamond" w:cs="Times New Roman"/>
                <w:b/>
                <w:bCs/>
                <w:color w:val="FFFFFF"/>
                <w:sz w:val="20"/>
                <w:szCs w:val="20"/>
              </w:rPr>
              <w:t>General Comment Topic</w:t>
            </w:r>
          </w:p>
        </w:tc>
        <w:tc>
          <w:tcPr>
            <w:tcW w:w="11970"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626C3A" w:rsidRPr="00D7704E" w:rsidTr="00CF23E2">
        <w:trPr>
          <w:trHeight w:val="1449"/>
        </w:trPr>
        <w:tc>
          <w:tcPr>
            <w:tcW w:w="2355" w:type="dxa"/>
            <w:tcBorders>
              <w:bottom w:val="single" w:sz="12" w:space="0" w:color="4F81BD" w:themeColor="accent1"/>
            </w:tcBorders>
            <w:shd w:val="clear" w:color="auto" w:fill="auto"/>
            <w:noWrap/>
          </w:tcPr>
          <w:p w:rsidR="00626C3A" w:rsidRPr="00DA3FF2" w:rsidRDefault="00626C3A" w:rsidP="00CF23E2">
            <w:pPr>
              <w:spacing w:after="0" w:line="240" w:lineRule="auto"/>
              <w:rPr>
                <w:rFonts w:eastAsia="Times New Roman"/>
                <w:bCs/>
                <w:sz w:val="20"/>
                <w:szCs w:val="20"/>
              </w:rPr>
            </w:pPr>
            <w:r w:rsidRPr="00DA3FF2">
              <w:rPr>
                <w:rFonts w:eastAsia="Times New Roman"/>
                <w:bCs/>
                <w:sz w:val="20"/>
                <w:szCs w:val="20"/>
              </w:rPr>
              <w:t xml:space="preserve">Summary of Care Record - Care Plan </w:t>
            </w:r>
          </w:p>
          <w:p w:rsidR="00626C3A" w:rsidRPr="00D7704E" w:rsidRDefault="00626C3A" w:rsidP="00CF23E2">
            <w:pPr>
              <w:spacing w:after="0" w:line="240" w:lineRule="auto"/>
              <w:rPr>
                <w:rFonts w:eastAsia="Times New Roman" w:cs="Times New Roman"/>
                <w:bCs/>
                <w:sz w:val="20"/>
                <w:szCs w:val="20"/>
              </w:rPr>
            </w:pPr>
          </w:p>
        </w:tc>
        <w:tc>
          <w:tcPr>
            <w:tcW w:w="11970" w:type="dxa"/>
            <w:tcBorders>
              <w:bottom w:val="single" w:sz="12" w:space="0" w:color="4F81BD" w:themeColor="accent1"/>
            </w:tcBorders>
            <w:shd w:val="clear" w:color="auto" w:fill="auto"/>
            <w:noWrap/>
          </w:tcPr>
          <w:p w:rsidR="00626C3A" w:rsidRPr="00D7704E" w:rsidRDefault="00626C3A" w:rsidP="00CF23E2">
            <w:pPr>
              <w:rPr>
                <w:rFonts w:eastAsia="Times New Roman" w:cs="Times New Roman"/>
                <w:bCs/>
                <w:sz w:val="20"/>
                <w:szCs w:val="20"/>
              </w:rPr>
            </w:pPr>
            <w:r w:rsidRPr="00DA3FF2">
              <w:rPr>
                <w:rFonts w:eastAsia="Times New Roman"/>
                <w:bCs/>
                <w:sz w:val="20"/>
                <w:szCs w:val="20"/>
              </w:rPr>
              <w:t>For purposes of meaningful use measurement we propose that a care plan must include at a minimum the following components: problem (the focus of the care plan), goal (the target outcome) and any instructions that the provider has given to the patient. A goal is a defined target or measure to be achieved in the process of patient care (an expected outcome). We encourage EPs to develop the most robust care plan that is warranted by the situation. We also welcome comments on both our description of a care plan and whether a description is necessary for purpose of meaningful use</w:t>
            </w:r>
            <w:r>
              <w:rPr>
                <w:rFonts w:eastAsia="Times New Roman"/>
                <w:bCs/>
                <w:sz w:val="20"/>
                <w:szCs w:val="20"/>
              </w:rPr>
              <w:t>. FR 13716</w:t>
            </w:r>
          </w:p>
        </w:tc>
      </w:tr>
      <w:tr w:rsidR="00626C3A" w:rsidRPr="00D7704E" w:rsidTr="00CF23E2">
        <w:trPr>
          <w:trHeight w:val="780"/>
        </w:trPr>
        <w:tc>
          <w:tcPr>
            <w:tcW w:w="14325" w:type="dxa"/>
            <w:gridSpan w:val="2"/>
            <w:tcBorders>
              <w:bottom w:val="single" w:sz="12" w:space="0" w:color="4F81BD" w:themeColor="accent1"/>
            </w:tcBorders>
            <w:shd w:val="clear" w:color="auto" w:fill="auto"/>
          </w:tcPr>
          <w:p w:rsidR="00626C3A" w:rsidRDefault="00626C3A" w:rsidP="00CF23E2">
            <w:pPr>
              <w:spacing w:after="0" w:line="240" w:lineRule="auto"/>
              <w:rPr>
                <w:sz w:val="20"/>
                <w:szCs w:val="20"/>
              </w:rPr>
            </w:pPr>
            <w:r w:rsidRPr="00483A95">
              <w:rPr>
                <w:rFonts w:eastAsia="Times New Roman" w:cs="Times New Roman"/>
                <w:b/>
                <w:bCs/>
                <w:color w:val="365F91" w:themeColor="accent1" w:themeShade="BF"/>
                <w:sz w:val="20"/>
                <w:szCs w:val="20"/>
              </w:rPr>
              <w:t>Comments</w:t>
            </w:r>
          </w:p>
          <w:p w:rsidR="00626C3A" w:rsidRPr="00483A95" w:rsidRDefault="00626C3A" w:rsidP="00CF23E2">
            <w:pPr>
              <w:spacing w:after="0" w:line="240" w:lineRule="auto"/>
              <w:rPr>
                <w:rFonts w:eastAsia="Times New Roman"/>
                <w:bCs/>
                <w:sz w:val="20"/>
                <w:szCs w:val="20"/>
              </w:rPr>
            </w:pPr>
            <w:r w:rsidRPr="00DA3FF2">
              <w:rPr>
                <w:bCs/>
                <w:sz w:val="20"/>
                <w:szCs w:val="20"/>
              </w:rPr>
              <w:t xml:space="preserve">Although the information content in the summary of care document (intended for providers) may overlap with the content in clinical summaries (intended for patients), the way the information is expressed in the patient-facing document should be understandable to patients. We note that “relevant past diagnoses” requires a precise definition and would require human intervention to implement.    </w:t>
            </w:r>
          </w:p>
        </w:tc>
      </w:tr>
      <w:tr w:rsidR="00626C3A" w:rsidRPr="00D7704E" w:rsidTr="00CF23E2">
        <w:trPr>
          <w:trHeight w:val="312"/>
        </w:trPr>
        <w:tc>
          <w:tcPr>
            <w:tcW w:w="2355"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Pr>
                <w:sz w:val="20"/>
                <w:szCs w:val="20"/>
              </w:rPr>
              <w:br w:type="page"/>
            </w:r>
            <w:r>
              <w:rPr>
                <w:rFonts w:ascii="Garamond" w:eastAsia="Times New Roman" w:hAnsi="Garamond" w:cs="Times New Roman"/>
                <w:b/>
                <w:bCs/>
                <w:color w:val="FFFFFF"/>
                <w:sz w:val="20"/>
                <w:szCs w:val="20"/>
              </w:rPr>
              <w:t>General Comment Topic</w:t>
            </w:r>
          </w:p>
        </w:tc>
        <w:tc>
          <w:tcPr>
            <w:tcW w:w="11970" w:type="dxa"/>
            <w:shd w:val="clear" w:color="auto" w:fill="286AA0"/>
          </w:tcPr>
          <w:p w:rsidR="00626C3A" w:rsidRPr="00D7704E" w:rsidRDefault="00626C3A" w:rsidP="00CF23E2">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626C3A" w:rsidRPr="00D7704E" w:rsidTr="00CF23E2">
        <w:trPr>
          <w:trHeight w:val="558"/>
        </w:trPr>
        <w:tc>
          <w:tcPr>
            <w:tcW w:w="2355" w:type="dxa"/>
            <w:tcBorders>
              <w:bottom w:val="single" w:sz="12" w:space="0" w:color="4F81BD" w:themeColor="accent1"/>
            </w:tcBorders>
            <w:shd w:val="clear" w:color="auto" w:fill="auto"/>
            <w:noWrap/>
          </w:tcPr>
          <w:p w:rsidR="00626C3A" w:rsidRPr="007B4EBE" w:rsidRDefault="00626C3A" w:rsidP="00CF23E2">
            <w:pPr>
              <w:spacing w:after="0" w:line="240" w:lineRule="auto"/>
              <w:rPr>
                <w:rFonts w:eastAsia="Times New Roman"/>
                <w:bCs/>
                <w:sz w:val="20"/>
                <w:szCs w:val="20"/>
              </w:rPr>
            </w:pPr>
            <w:r w:rsidRPr="007B4EBE">
              <w:rPr>
                <w:rFonts w:eastAsia="Times New Roman"/>
                <w:bCs/>
                <w:sz w:val="20"/>
                <w:szCs w:val="20"/>
              </w:rPr>
              <w:t xml:space="preserve">Public Health - </w:t>
            </w:r>
            <w:proofErr w:type="spellStart"/>
            <w:r w:rsidRPr="007B4EBE">
              <w:rPr>
                <w:rFonts w:eastAsia="Times New Roman"/>
                <w:bCs/>
                <w:sz w:val="20"/>
                <w:szCs w:val="20"/>
              </w:rPr>
              <w:t>Syndromic</w:t>
            </w:r>
            <w:proofErr w:type="spellEnd"/>
            <w:r w:rsidRPr="007B4EBE">
              <w:rPr>
                <w:rFonts w:eastAsia="Times New Roman"/>
                <w:bCs/>
                <w:sz w:val="20"/>
                <w:szCs w:val="20"/>
              </w:rPr>
              <w:t xml:space="preserve"> Surveillance Menu item</w:t>
            </w:r>
          </w:p>
          <w:p w:rsidR="00626C3A" w:rsidRPr="00D7704E" w:rsidRDefault="00626C3A" w:rsidP="00CF23E2">
            <w:pPr>
              <w:spacing w:after="0" w:line="240" w:lineRule="auto"/>
              <w:rPr>
                <w:rFonts w:eastAsia="Times New Roman" w:cs="Times New Roman"/>
                <w:bCs/>
                <w:sz w:val="20"/>
                <w:szCs w:val="20"/>
              </w:rPr>
            </w:pPr>
          </w:p>
        </w:tc>
        <w:tc>
          <w:tcPr>
            <w:tcW w:w="11970" w:type="dxa"/>
            <w:tcBorders>
              <w:bottom w:val="single" w:sz="12" w:space="0" w:color="4F81BD" w:themeColor="accent1"/>
            </w:tcBorders>
            <w:shd w:val="clear" w:color="auto" w:fill="auto"/>
            <w:noWrap/>
          </w:tcPr>
          <w:p w:rsidR="00626C3A" w:rsidRPr="00D7704E" w:rsidRDefault="00626C3A" w:rsidP="00CF23E2">
            <w:pPr>
              <w:rPr>
                <w:rFonts w:eastAsia="Times New Roman" w:cs="Times New Roman"/>
                <w:bCs/>
                <w:sz w:val="20"/>
                <w:szCs w:val="20"/>
              </w:rPr>
            </w:pPr>
            <w:r w:rsidRPr="007B4EBE">
              <w:rPr>
                <w:rFonts w:eastAsia="Times New Roman"/>
                <w:bCs/>
                <w:sz w:val="20"/>
                <w:szCs w:val="20"/>
              </w:rPr>
              <w:t xml:space="preserve">We specifically invite comment on the proposal to leave </w:t>
            </w:r>
            <w:proofErr w:type="spellStart"/>
            <w:r w:rsidRPr="007B4EBE">
              <w:rPr>
                <w:rFonts w:eastAsia="Times New Roman"/>
                <w:bCs/>
                <w:sz w:val="20"/>
                <w:szCs w:val="20"/>
              </w:rPr>
              <w:t>syndromic</w:t>
            </w:r>
            <w:proofErr w:type="spellEnd"/>
            <w:r w:rsidRPr="007B4EBE">
              <w:rPr>
                <w:rFonts w:eastAsia="Times New Roman"/>
                <w:bCs/>
                <w:sz w:val="20"/>
                <w:szCs w:val="20"/>
              </w:rPr>
              <w:t xml:space="preserve"> surveillance in the menu set for EPs, while requiring it in the core set for eligible hospitals and CAHs.</w:t>
            </w:r>
            <w:r>
              <w:rPr>
                <w:rFonts w:eastAsia="Times New Roman"/>
                <w:bCs/>
                <w:sz w:val="20"/>
                <w:szCs w:val="20"/>
              </w:rPr>
              <w:t xml:space="preserve"> FR 13726</w:t>
            </w:r>
          </w:p>
        </w:tc>
      </w:tr>
      <w:tr w:rsidR="00626C3A" w:rsidRPr="00483A95" w:rsidTr="00CF23E2">
        <w:trPr>
          <w:trHeight w:val="780"/>
        </w:trPr>
        <w:tc>
          <w:tcPr>
            <w:tcW w:w="14325" w:type="dxa"/>
            <w:gridSpan w:val="2"/>
            <w:tcBorders>
              <w:bottom w:val="single" w:sz="12" w:space="0" w:color="4F81BD" w:themeColor="accent1"/>
            </w:tcBorders>
            <w:shd w:val="clear" w:color="auto" w:fill="auto"/>
          </w:tcPr>
          <w:p w:rsidR="00626C3A" w:rsidRPr="007B4EBE" w:rsidRDefault="00626C3A" w:rsidP="00CF23E2">
            <w:pPr>
              <w:spacing w:after="0" w:line="240" w:lineRule="auto"/>
              <w:rPr>
                <w:sz w:val="20"/>
                <w:szCs w:val="20"/>
              </w:rPr>
            </w:pPr>
            <w:r w:rsidRPr="00483A95">
              <w:rPr>
                <w:rFonts w:eastAsia="Times New Roman" w:cs="Times New Roman"/>
                <w:b/>
                <w:bCs/>
                <w:color w:val="365F91" w:themeColor="accent1" w:themeShade="BF"/>
                <w:sz w:val="20"/>
                <w:szCs w:val="20"/>
              </w:rPr>
              <w:t>Comments</w:t>
            </w:r>
          </w:p>
          <w:p w:rsidR="00626C3A" w:rsidRPr="00483A95" w:rsidRDefault="00626C3A" w:rsidP="00CF23E2">
            <w:pPr>
              <w:spacing w:after="0" w:line="240" w:lineRule="auto"/>
              <w:rPr>
                <w:rFonts w:eastAsia="Times New Roman"/>
                <w:bCs/>
                <w:sz w:val="20"/>
                <w:szCs w:val="20"/>
              </w:rPr>
            </w:pPr>
            <w:r w:rsidRPr="007B4EBE">
              <w:rPr>
                <w:bCs/>
                <w:sz w:val="20"/>
                <w:szCs w:val="20"/>
              </w:rPr>
              <w:t xml:space="preserve">We understand that it may be challenging for public health departments to be fully prepared to accept electronic submissions of all three public health objectives by 2014.  If HHS needs to maintain flexibility (e.g., retain menu option), we recommend that immunization registries be the highest priority.  </w:t>
            </w:r>
          </w:p>
        </w:tc>
      </w:tr>
    </w:tbl>
    <w:p w:rsidR="00626C3A" w:rsidRDefault="00626C3A" w:rsidP="00626C3A">
      <w:pPr>
        <w:rPr>
          <w:sz w:val="20"/>
          <w:szCs w:val="20"/>
        </w:rPr>
      </w:pPr>
    </w:p>
    <w:p w:rsidR="00DA3FF2" w:rsidRDefault="00DA3FF2" w:rsidP="007F2572">
      <w:pPr>
        <w:pStyle w:val="Heading1"/>
        <w:rPr>
          <w:sz w:val="20"/>
          <w:szCs w:val="20"/>
        </w:rPr>
      </w:pPr>
    </w:p>
    <w:sectPr w:rsidR="00DA3FF2" w:rsidSect="00E26E7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23" w:rsidRDefault="001F5C23" w:rsidP="00EC7805">
      <w:pPr>
        <w:spacing w:after="0" w:line="240" w:lineRule="auto"/>
      </w:pPr>
      <w:r>
        <w:separator/>
      </w:r>
    </w:p>
  </w:endnote>
  <w:endnote w:type="continuationSeparator" w:id="0">
    <w:p w:rsidR="001F5C23" w:rsidRDefault="001F5C23" w:rsidP="00EC7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6891"/>
      <w:docPartObj>
        <w:docPartGallery w:val="Page Numbers (Bottom of Page)"/>
        <w:docPartUnique/>
      </w:docPartObj>
    </w:sdtPr>
    <w:sdtContent>
      <w:p w:rsidR="00174FA6" w:rsidRDefault="00CD506D">
        <w:pPr>
          <w:pStyle w:val="Footer"/>
          <w:jc w:val="right"/>
        </w:pPr>
        <w:r w:rsidRPr="00CD506D">
          <w:fldChar w:fldCharType="begin"/>
        </w:r>
        <w:r w:rsidR="00174FA6">
          <w:instrText xml:space="preserve"> PAGE   \* MERGEFORMAT </w:instrText>
        </w:r>
        <w:r w:rsidRPr="00CD506D">
          <w:fldChar w:fldCharType="separate"/>
        </w:r>
        <w:r w:rsidR="00A53C6C" w:rsidRPr="00A53C6C">
          <w:rPr>
            <w:noProof/>
            <w:sz w:val="20"/>
            <w:szCs w:val="20"/>
          </w:rPr>
          <w:t>2</w:t>
        </w:r>
        <w:r>
          <w:rPr>
            <w:noProof/>
            <w:sz w:val="20"/>
            <w:szCs w:val="20"/>
          </w:rPr>
          <w:fldChar w:fldCharType="end"/>
        </w:r>
      </w:p>
    </w:sdtContent>
  </w:sdt>
  <w:p w:rsidR="00174FA6" w:rsidRDefault="00174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23" w:rsidRDefault="001F5C23" w:rsidP="00EC7805">
      <w:pPr>
        <w:spacing w:after="0" w:line="240" w:lineRule="auto"/>
      </w:pPr>
      <w:r>
        <w:separator/>
      </w:r>
    </w:p>
  </w:footnote>
  <w:footnote w:type="continuationSeparator" w:id="0">
    <w:p w:rsidR="001F5C23" w:rsidRDefault="001F5C23" w:rsidP="00EC7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A6" w:rsidRPr="00EC7805" w:rsidRDefault="00174FA6" w:rsidP="00EC7805">
    <w:pPr>
      <w:pStyle w:val="Header"/>
      <w:jc w:val="center"/>
      <w:rPr>
        <w:rFonts w:asciiTheme="majorHAnsi" w:hAnsiTheme="majorHAnsi"/>
        <w:b/>
        <w:sz w:val="20"/>
        <w:szCs w:val="20"/>
      </w:rPr>
    </w:pPr>
    <w:r>
      <w:rPr>
        <w:rFonts w:asciiTheme="majorHAnsi" w:hAnsiTheme="majorHAnsi"/>
        <w:b/>
        <w:sz w:val="20"/>
        <w:szCs w:val="20"/>
      </w:rPr>
      <w:t>Meaningful Use</w:t>
    </w:r>
    <w:r w:rsidRPr="00EC7805">
      <w:rPr>
        <w:rFonts w:asciiTheme="majorHAnsi" w:hAnsiTheme="majorHAnsi"/>
        <w:b/>
        <w:sz w:val="20"/>
        <w:szCs w:val="20"/>
      </w:rPr>
      <w:t xml:space="preserve"> </w:t>
    </w:r>
    <w:r>
      <w:rPr>
        <w:rFonts w:asciiTheme="majorHAnsi" w:hAnsiTheme="majorHAnsi"/>
        <w:b/>
        <w:bCs/>
        <w:sz w:val="20"/>
        <w:szCs w:val="20"/>
      </w:rPr>
      <w:t xml:space="preserve">Comments on Stage 2 CMS </w:t>
    </w:r>
    <w:r w:rsidRPr="00EC7805">
      <w:rPr>
        <w:rFonts w:asciiTheme="majorHAnsi" w:hAnsiTheme="majorHAnsi"/>
        <w:b/>
        <w:bCs/>
        <w:sz w:val="20"/>
        <w:szCs w:val="20"/>
      </w:rPr>
      <w:t>EHR Incentive Program</w:t>
    </w:r>
    <w:r>
      <w:rPr>
        <w:rFonts w:asciiTheme="majorHAnsi" w:hAnsiTheme="majorHAnsi"/>
        <w:b/>
        <w:bCs/>
        <w:sz w:val="20"/>
        <w:szCs w:val="20"/>
      </w:rPr>
      <w:t xml:space="preserve"> NPRM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253"/>
    <w:multiLevelType w:val="hybridMultilevel"/>
    <w:tmpl w:val="55F2A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6D74DA"/>
    <w:multiLevelType w:val="hybridMultilevel"/>
    <w:tmpl w:val="0CDC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8D60D3"/>
    <w:multiLevelType w:val="hybridMultilevel"/>
    <w:tmpl w:val="B3B26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E56F91"/>
    <w:multiLevelType w:val="hybridMultilevel"/>
    <w:tmpl w:val="DA7EB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4735EE"/>
    <w:multiLevelType w:val="hybridMultilevel"/>
    <w:tmpl w:val="522CC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F93E7A"/>
    <w:multiLevelType w:val="hybridMultilevel"/>
    <w:tmpl w:val="01CEB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BC7CCA"/>
    <w:multiLevelType w:val="hybridMultilevel"/>
    <w:tmpl w:val="857EB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2E404E"/>
    <w:multiLevelType w:val="hybridMultilevel"/>
    <w:tmpl w:val="6E0AFEF2"/>
    <w:lvl w:ilvl="0" w:tplc="1FC668BC">
      <w:start w:val="1"/>
      <w:numFmt w:val="decimal"/>
      <w:lvlText w:val="%1."/>
      <w:lvlJc w:val="left"/>
      <w:pPr>
        <w:tabs>
          <w:tab w:val="num" w:pos="720"/>
        </w:tabs>
        <w:ind w:left="720" w:hanging="360"/>
      </w:pPr>
    </w:lvl>
    <w:lvl w:ilvl="1" w:tplc="85C07988" w:tentative="1">
      <w:start w:val="1"/>
      <w:numFmt w:val="decimal"/>
      <w:lvlText w:val="%2."/>
      <w:lvlJc w:val="left"/>
      <w:pPr>
        <w:tabs>
          <w:tab w:val="num" w:pos="1440"/>
        </w:tabs>
        <w:ind w:left="1440" w:hanging="360"/>
      </w:pPr>
    </w:lvl>
    <w:lvl w:ilvl="2" w:tplc="BFDC168A" w:tentative="1">
      <w:start w:val="1"/>
      <w:numFmt w:val="decimal"/>
      <w:lvlText w:val="%3."/>
      <w:lvlJc w:val="left"/>
      <w:pPr>
        <w:tabs>
          <w:tab w:val="num" w:pos="2160"/>
        </w:tabs>
        <w:ind w:left="2160" w:hanging="360"/>
      </w:pPr>
    </w:lvl>
    <w:lvl w:ilvl="3" w:tplc="09E862B4" w:tentative="1">
      <w:start w:val="1"/>
      <w:numFmt w:val="decimal"/>
      <w:lvlText w:val="%4."/>
      <w:lvlJc w:val="left"/>
      <w:pPr>
        <w:tabs>
          <w:tab w:val="num" w:pos="2880"/>
        </w:tabs>
        <w:ind w:left="2880" w:hanging="360"/>
      </w:pPr>
    </w:lvl>
    <w:lvl w:ilvl="4" w:tplc="09DCA7F4" w:tentative="1">
      <w:start w:val="1"/>
      <w:numFmt w:val="decimal"/>
      <w:lvlText w:val="%5."/>
      <w:lvlJc w:val="left"/>
      <w:pPr>
        <w:tabs>
          <w:tab w:val="num" w:pos="3600"/>
        </w:tabs>
        <w:ind w:left="3600" w:hanging="360"/>
      </w:pPr>
    </w:lvl>
    <w:lvl w:ilvl="5" w:tplc="D722C68E" w:tentative="1">
      <w:start w:val="1"/>
      <w:numFmt w:val="decimal"/>
      <w:lvlText w:val="%6."/>
      <w:lvlJc w:val="left"/>
      <w:pPr>
        <w:tabs>
          <w:tab w:val="num" w:pos="4320"/>
        </w:tabs>
        <w:ind w:left="4320" w:hanging="360"/>
      </w:pPr>
    </w:lvl>
    <w:lvl w:ilvl="6" w:tplc="EC46D20E" w:tentative="1">
      <w:start w:val="1"/>
      <w:numFmt w:val="decimal"/>
      <w:lvlText w:val="%7."/>
      <w:lvlJc w:val="left"/>
      <w:pPr>
        <w:tabs>
          <w:tab w:val="num" w:pos="5040"/>
        </w:tabs>
        <w:ind w:left="5040" w:hanging="360"/>
      </w:pPr>
    </w:lvl>
    <w:lvl w:ilvl="7" w:tplc="E5188652" w:tentative="1">
      <w:start w:val="1"/>
      <w:numFmt w:val="decimal"/>
      <w:lvlText w:val="%8."/>
      <w:lvlJc w:val="left"/>
      <w:pPr>
        <w:tabs>
          <w:tab w:val="num" w:pos="5760"/>
        </w:tabs>
        <w:ind w:left="5760" w:hanging="360"/>
      </w:pPr>
    </w:lvl>
    <w:lvl w:ilvl="8" w:tplc="92E6EFB8" w:tentative="1">
      <w:start w:val="1"/>
      <w:numFmt w:val="decimal"/>
      <w:lvlText w:val="%9."/>
      <w:lvlJc w:val="left"/>
      <w:pPr>
        <w:tabs>
          <w:tab w:val="num" w:pos="6480"/>
        </w:tabs>
        <w:ind w:left="6480" w:hanging="360"/>
      </w:pPr>
    </w:lvl>
  </w:abstractNum>
  <w:abstractNum w:abstractNumId="8">
    <w:nsid w:val="10067864"/>
    <w:multiLevelType w:val="hybridMultilevel"/>
    <w:tmpl w:val="3F005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466CF6"/>
    <w:multiLevelType w:val="hybridMultilevel"/>
    <w:tmpl w:val="CD96A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2646C8"/>
    <w:multiLevelType w:val="hybridMultilevel"/>
    <w:tmpl w:val="424A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F7CCB"/>
    <w:multiLevelType w:val="hybridMultilevel"/>
    <w:tmpl w:val="7788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5F451C"/>
    <w:multiLevelType w:val="hybridMultilevel"/>
    <w:tmpl w:val="11A0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827D0D"/>
    <w:multiLevelType w:val="hybridMultilevel"/>
    <w:tmpl w:val="AE1AB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BF0F69"/>
    <w:multiLevelType w:val="hybridMultilevel"/>
    <w:tmpl w:val="0262C4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F77B26"/>
    <w:multiLevelType w:val="hybridMultilevel"/>
    <w:tmpl w:val="FE3E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606BFC"/>
    <w:multiLevelType w:val="hybridMultilevel"/>
    <w:tmpl w:val="EA7E8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B527CB"/>
    <w:multiLevelType w:val="hybridMultilevel"/>
    <w:tmpl w:val="9496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D01FD"/>
    <w:multiLevelType w:val="hybridMultilevel"/>
    <w:tmpl w:val="0EB82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4727F0"/>
    <w:multiLevelType w:val="hybridMultilevel"/>
    <w:tmpl w:val="B11271A6"/>
    <w:lvl w:ilvl="0" w:tplc="04090001">
      <w:start w:val="1"/>
      <w:numFmt w:val="bullet"/>
      <w:lvlText w:val=""/>
      <w:lvlJc w:val="left"/>
      <w:pPr>
        <w:ind w:left="360" w:hanging="360"/>
      </w:pPr>
      <w:rPr>
        <w:rFonts w:ascii="Symbol" w:hAnsi="Symbol" w:hint="default"/>
      </w:rPr>
    </w:lvl>
    <w:lvl w:ilvl="1" w:tplc="95F45E6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6072B2"/>
    <w:multiLevelType w:val="hybridMultilevel"/>
    <w:tmpl w:val="BF98A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D879EF"/>
    <w:multiLevelType w:val="hybridMultilevel"/>
    <w:tmpl w:val="19425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651092"/>
    <w:multiLevelType w:val="hybridMultilevel"/>
    <w:tmpl w:val="DFB6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C26E45"/>
    <w:multiLevelType w:val="hybridMultilevel"/>
    <w:tmpl w:val="4A38D8E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D91A65"/>
    <w:multiLevelType w:val="hybridMultilevel"/>
    <w:tmpl w:val="B7A8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B94AB2"/>
    <w:multiLevelType w:val="hybridMultilevel"/>
    <w:tmpl w:val="11EC0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3451CB"/>
    <w:multiLevelType w:val="hybridMultilevel"/>
    <w:tmpl w:val="4314C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65487A"/>
    <w:multiLevelType w:val="hybridMultilevel"/>
    <w:tmpl w:val="4500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D0FD9"/>
    <w:multiLevelType w:val="hybridMultilevel"/>
    <w:tmpl w:val="CC3C9A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8E12EB"/>
    <w:multiLevelType w:val="multilevel"/>
    <w:tmpl w:val="8DBAB202"/>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nsid w:val="51352FB4"/>
    <w:multiLevelType w:val="hybridMultilevel"/>
    <w:tmpl w:val="A45A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FB32C2"/>
    <w:multiLevelType w:val="hybridMultilevel"/>
    <w:tmpl w:val="14C6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045CD8"/>
    <w:multiLevelType w:val="hybridMultilevel"/>
    <w:tmpl w:val="7B3C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3364D"/>
    <w:multiLevelType w:val="hybridMultilevel"/>
    <w:tmpl w:val="E6ACD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9A7E0F"/>
    <w:multiLevelType w:val="hybridMultilevel"/>
    <w:tmpl w:val="BB321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D3527"/>
    <w:multiLevelType w:val="hybridMultilevel"/>
    <w:tmpl w:val="A0C66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0E33ED"/>
    <w:multiLevelType w:val="hybridMultilevel"/>
    <w:tmpl w:val="4888F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2E5DBB"/>
    <w:multiLevelType w:val="hybridMultilevel"/>
    <w:tmpl w:val="B6101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CE0C0F"/>
    <w:multiLevelType w:val="hybridMultilevel"/>
    <w:tmpl w:val="75A0F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D77A2D"/>
    <w:multiLevelType w:val="hybridMultilevel"/>
    <w:tmpl w:val="A1D4E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A56EF0"/>
    <w:multiLevelType w:val="hybridMultilevel"/>
    <w:tmpl w:val="59F0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02BDF"/>
    <w:multiLevelType w:val="hybridMultilevel"/>
    <w:tmpl w:val="7658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A61115"/>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3">
    <w:nsid w:val="6FAF6537"/>
    <w:multiLevelType w:val="hybridMultilevel"/>
    <w:tmpl w:val="68B2F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2393C66"/>
    <w:multiLevelType w:val="hybridMultilevel"/>
    <w:tmpl w:val="CFFEC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735D25"/>
    <w:multiLevelType w:val="hybridMultilevel"/>
    <w:tmpl w:val="1A302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4863CE"/>
    <w:multiLevelType w:val="hybridMultilevel"/>
    <w:tmpl w:val="96A6F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17AD4"/>
    <w:multiLevelType w:val="hybridMultilevel"/>
    <w:tmpl w:val="F1F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C92A5D"/>
    <w:multiLevelType w:val="hybridMultilevel"/>
    <w:tmpl w:val="B6C2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28"/>
  </w:num>
  <w:num w:numId="4">
    <w:abstractNumId w:val="6"/>
  </w:num>
  <w:num w:numId="5">
    <w:abstractNumId w:val="22"/>
  </w:num>
  <w:num w:numId="6">
    <w:abstractNumId w:val="44"/>
  </w:num>
  <w:num w:numId="7">
    <w:abstractNumId w:val="19"/>
  </w:num>
  <w:num w:numId="8">
    <w:abstractNumId w:val="32"/>
  </w:num>
  <w:num w:numId="9">
    <w:abstractNumId w:val="11"/>
  </w:num>
  <w:num w:numId="10">
    <w:abstractNumId w:val="31"/>
  </w:num>
  <w:num w:numId="11">
    <w:abstractNumId w:val="23"/>
  </w:num>
  <w:num w:numId="12">
    <w:abstractNumId w:val="7"/>
  </w:num>
  <w:num w:numId="13">
    <w:abstractNumId w:val="39"/>
  </w:num>
  <w:num w:numId="14">
    <w:abstractNumId w:val="34"/>
  </w:num>
  <w:num w:numId="15">
    <w:abstractNumId w:val="12"/>
  </w:num>
  <w:num w:numId="16">
    <w:abstractNumId w:val="37"/>
  </w:num>
  <w:num w:numId="17">
    <w:abstractNumId w:val="3"/>
  </w:num>
  <w:num w:numId="18">
    <w:abstractNumId w:val="24"/>
  </w:num>
  <w:num w:numId="19">
    <w:abstractNumId w:val="33"/>
  </w:num>
  <w:num w:numId="20">
    <w:abstractNumId w:val="17"/>
  </w:num>
  <w:num w:numId="21">
    <w:abstractNumId w:val="21"/>
  </w:num>
  <w:num w:numId="22">
    <w:abstractNumId w:val="1"/>
  </w:num>
  <w:num w:numId="23">
    <w:abstractNumId w:val="40"/>
  </w:num>
  <w:num w:numId="24">
    <w:abstractNumId w:val="41"/>
  </w:num>
  <w:num w:numId="25">
    <w:abstractNumId w:val="48"/>
  </w:num>
  <w:num w:numId="26">
    <w:abstractNumId w:val="35"/>
  </w:num>
  <w:num w:numId="27">
    <w:abstractNumId w:val="25"/>
  </w:num>
  <w:num w:numId="28">
    <w:abstractNumId w:val="4"/>
  </w:num>
  <w:num w:numId="29">
    <w:abstractNumId w:val="16"/>
  </w:num>
  <w:num w:numId="30">
    <w:abstractNumId w:val="20"/>
  </w:num>
  <w:num w:numId="31">
    <w:abstractNumId w:val="26"/>
  </w:num>
  <w:num w:numId="32">
    <w:abstractNumId w:val="13"/>
  </w:num>
  <w:num w:numId="33">
    <w:abstractNumId w:val="30"/>
  </w:num>
  <w:num w:numId="34">
    <w:abstractNumId w:val="36"/>
  </w:num>
  <w:num w:numId="35">
    <w:abstractNumId w:val="0"/>
  </w:num>
  <w:num w:numId="36">
    <w:abstractNumId w:val="5"/>
  </w:num>
  <w:num w:numId="37">
    <w:abstractNumId w:val="2"/>
  </w:num>
  <w:num w:numId="38">
    <w:abstractNumId w:val="18"/>
  </w:num>
  <w:num w:numId="39">
    <w:abstractNumId w:val="43"/>
  </w:num>
  <w:num w:numId="40">
    <w:abstractNumId w:val="15"/>
  </w:num>
  <w:num w:numId="41">
    <w:abstractNumId w:val="9"/>
  </w:num>
  <w:num w:numId="42">
    <w:abstractNumId w:val="46"/>
  </w:num>
  <w:num w:numId="43">
    <w:abstractNumId w:val="27"/>
  </w:num>
  <w:num w:numId="44">
    <w:abstractNumId w:val="10"/>
  </w:num>
  <w:num w:numId="45">
    <w:abstractNumId w:val="47"/>
  </w:num>
  <w:num w:numId="46">
    <w:abstractNumId w:val="8"/>
  </w:num>
  <w:num w:numId="47">
    <w:abstractNumId w:val="42"/>
  </w:num>
  <w:num w:numId="48">
    <w:abstractNumId w:val="29"/>
  </w:num>
  <w:num w:numId="49">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752F"/>
    <w:rsid w:val="000019FD"/>
    <w:rsid w:val="0001143E"/>
    <w:rsid w:val="00020F57"/>
    <w:rsid w:val="00026196"/>
    <w:rsid w:val="000306F0"/>
    <w:rsid w:val="00057E24"/>
    <w:rsid w:val="00060418"/>
    <w:rsid w:val="00072415"/>
    <w:rsid w:val="000729E9"/>
    <w:rsid w:val="00082475"/>
    <w:rsid w:val="0008415F"/>
    <w:rsid w:val="000A014C"/>
    <w:rsid w:val="000A2F17"/>
    <w:rsid w:val="000A31ED"/>
    <w:rsid w:val="000A3242"/>
    <w:rsid w:val="000B27D3"/>
    <w:rsid w:val="000B3D80"/>
    <w:rsid w:val="000C622F"/>
    <w:rsid w:val="000C6B5D"/>
    <w:rsid w:val="000E2811"/>
    <w:rsid w:val="000E58C0"/>
    <w:rsid w:val="000E72CC"/>
    <w:rsid w:val="001001F4"/>
    <w:rsid w:val="00101C4C"/>
    <w:rsid w:val="00111E29"/>
    <w:rsid w:val="00122AAC"/>
    <w:rsid w:val="00130BE6"/>
    <w:rsid w:val="0014499D"/>
    <w:rsid w:val="00147CD2"/>
    <w:rsid w:val="001676A3"/>
    <w:rsid w:val="00174FA6"/>
    <w:rsid w:val="00180FEE"/>
    <w:rsid w:val="0018428B"/>
    <w:rsid w:val="00191347"/>
    <w:rsid w:val="001C5D40"/>
    <w:rsid w:val="001F5C23"/>
    <w:rsid w:val="00210563"/>
    <w:rsid w:val="0023271F"/>
    <w:rsid w:val="0023776C"/>
    <w:rsid w:val="00276998"/>
    <w:rsid w:val="0029380E"/>
    <w:rsid w:val="002965F5"/>
    <w:rsid w:val="002A0AB3"/>
    <w:rsid w:val="002B69A5"/>
    <w:rsid w:val="002B6ED1"/>
    <w:rsid w:val="002C6B7D"/>
    <w:rsid w:val="002D6E5E"/>
    <w:rsid w:val="00322F90"/>
    <w:rsid w:val="00347AFF"/>
    <w:rsid w:val="0036009C"/>
    <w:rsid w:val="00364F32"/>
    <w:rsid w:val="00367CCC"/>
    <w:rsid w:val="003802A6"/>
    <w:rsid w:val="00393B5C"/>
    <w:rsid w:val="003A1207"/>
    <w:rsid w:val="003D5ADD"/>
    <w:rsid w:val="003D6A65"/>
    <w:rsid w:val="003E464A"/>
    <w:rsid w:val="003E4E92"/>
    <w:rsid w:val="003F6222"/>
    <w:rsid w:val="00416CA0"/>
    <w:rsid w:val="00423612"/>
    <w:rsid w:val="00435368"/>
    <w:rsid w:val="00443C17"/>
    <w:rsid w:val="00444DE9"/>
    <w:rsid w:val="00472212"/>
    <w:rsid w:val="00473EB3"/>
    <w:rsid w:val="00481427"/>
    <w:rsid w:val="00483A95"/>
    <w:rsid w:val="00493C6B"/>
    <w:rsid w:val="004A1E89"/>
    <w:rsid w:val="004A3D0C"/>
    <w:rsid w:val="004B469D"/>
    <w:rsid w:val="004C56DA"/>
    <w:rsid w:val="004D0050"/>
    <w:rsid w:val="004E2EA6"/>
    <w:rsid w:val="0051654B"/>
    <w:rsid w:val="00523F4D"/>
    <w:rsid w:val="00550011"/>
    <w:rsid w:val="00551C22"/>
    <w:rsid w:val="0055570B"/>
    <w:rsid w:val="005611BB"/>
    <w:rsid w:val="00561CB6"/>
    <w:rsid w:val="00582F5D"/>
    <w:rsid w:val="005847B0"/>
    <w:rsid w:val="00584D05"/>
    <w:rsid w:val="0059017F"/>
    <w:rsid w:val="005B3BB9"/>
    <w:rsid w:val="005B550A"/>
    <w:rsid w:val="005C3DA3"/>
    <w:rsid w:val="00626C3A"/>
    <w:rsid w:val="00641C35"/>
    <w:rsid w:val="00661B7A"/>
    <w:rsid w:val="006814EC"/>
    <w:rsid w:val="00682336"/>
    <w:rsid w:val="006843EC"/>
    <w:rsid w:val="00686FE2"/>
    <w:rsid w:val="006A1867"/>
    <w:rsid w:val="006A1CF3"/>
    <w:rsid w:val="006D2B41"/>
    <w:rsid w:val="006F4129"/>
    <w:rsid w:val="006F4729"/>
    <w:rsid w:val="006F73B5"/>
    <w:rsid w:val="00710BDB"/>
    <w:rsid w:val="00716580"/>
    <w:rsid w:val="00724EB7"/>
    <w:rsid w:val="0073390F"/>
    <w:rsid w:val="007717E7"/>
    <w:rsid w:val="007B2468"/>
    <w:rsid w:val="007B4EBE"/>
    <w:rsid w:val="007F0C69"/>
    <w:rsid w:val="007F2572"/>
    <w:rsid w:val="00801163"/>
    <w:rsid w:val="0080140E"/>
    <w:rsid w:val="00805FEB"/>
    <w:rsid w:val="00835846"/>
    <w:rsid w:val="0084454E"/>
    <w:rsid w:val="00880BDC"/>
    <w:rsid w:val="0088128C"/>
    <w:rsid w:val="00884204"/>
    <w:rsid w:val="0089118C"/>
    <w:rsid w:val="00892178"/>
    <w:rsid w:val="00893F9A"/>
    <w:rsid w:val="008A2EB3"/>
    <w:rsid w:val="008B5B67"/>
    <w:rsid w:val="008C76C1"/>
    <w:rsid w:val="008D2CB0"/>
    <w:rsid w:val="008E1ECE"/>
    <w:rsid w:val="00922971"/>
    <w:rsid w:val="0092379D"/>
    <w:rsid w:val="00926235"/>
    <w:rsid w:val="0093394E"/>
    <w:rsid w:val="00933C00"/>
    <w:rsid w:val="009349E3"/>
    <w:rsid w:val="00934F38"/>
    <w:rsid w:val="0095075F"/>
    <w:rsid w:val="0097158E"/>
    <w:rsid w:val="0097520B"/>
    <w:rsid w:val="009A1ACB"/>
    <w:rsid w:val="009A4658"/>
    <w:rsid w:val="009D0858"/>
    <w:rsid w:val="009E4119"/>
    <w:rsid w:val="009F11CC"/>
    <w:rsid w:val="00A06A41"/>
    <w:rsid w:val="00A11CDD"/>
    <w:rsid w:val="00A13B44"/>
    <w:rsid w:val="00A36548"/>
    <w:rsid w:val="00A403DF"/>
    <w:rsid w:val="00A44777"/>
    <w:rsid w:val="00A47A47"/>
    <w:rsid w:val="00A52120"/>
    <w:rsid w:val="00A53C6C"/>
    <w:rsid w:val="00A60581"/>
    <w:rsid w:val="00A645DE"/>
    <w:rsid w:val="00A7667B"/>
    <w:rsid w:val="00AC1453"/>
    <w:rsid w:val="00AD019D"/>
    <w:rsid w:val="00AE3A0B"/>
    <w:rsid w:val="00AE752F"/>
    <w:rsid w:val="00AF0BD8"/>
    <w:rsid w:val="00AF4578"/>
    <w:rsid w:val="00AF5053"/>
    <w:rsid w:val="00B04FA8"/>
    <w:rsid w:val="00B10C30"/>
    <w:rsid w:val="00B1211D"/>
    <w:rsid w:val="00B131D4"/>
    <w:rsid w:val="00B15945"/>
    <w:rsid w:val="00B34180"/>
    <w:rsid w:val="00B35860"/>
    <w:rsid w:val="00B705C6"/>
    <w:rsid w:val="00B7784C"/>
    <w:rsid w:val="00B819B8"/>
    <w:rsid w:val="00B84F26"/>
    <w:rsid w:val="00BA142B"/>
    <w:rsid w:val="00BC1D55"/>
    <w:rsid w:val="00BC3426"/>
    <w:rsid w:val="00BF1D1C"/>
    <w:rsid w:val="00BF3B65"/>
    <w:rsid w:val="00BF51BC"/>
    <w:rsid w:val="00BF5EF3"/>
    <w:rsid w:val="00C01B0D"/>
    <w:rsid w:val="00C26F4B"/>
    <w:rsid w:val="00C2722B"/>
    <w:rsid w:val="00C3633B"/>
    <w:rsid w:val="00C36B0B"/>
    <w:rsid w:val="00C36CDD"/>
    <w:rsid w:val="00C535FE"/>
    <w:rsid w:val="00C5507C"/>
    <w:rsid w:val="00C6774D"/>
    <w:rsid w:val="00C679C0"/>
    <w:rsid w:val="00C7120F"/>
    <w:rsid w:val="00C75E4F"/>
    <w:rsid w:val="00C76EDE"/>
    <w:rsid w:val="00C97016"/>
    <w:rsid w:val="00CA5DAA"/>
    <w:rsid w:val="00CB1EED"/>
    <w:rsid w:val="00CB545C"/>
    <w:rsid w:val="00CD2396"/>
    <w:rsid w:val="00CD506D"/>
    <w:rsid w:val="00CE0D91"/>
    <w:rsid w:val="00CF0A10"/>
    <w:rsid w:val="00D021B8"/>
    <w:rsid w:val="00D05391"/>
    <w:rsid w:val="00D22AAA"/>
    <w:rsid w:val="00D24680"/>
    <w:rsid w:val="00D25E4B"/>
    <w:rsid w:val="00D325BF"/>
    <w:rsid w:val="00D435E1"/>
    <w:rsid w:val="00D53EBE"/>
    <w:rsid w:val="00D6649D"/>
    <w:rsid w:val="00D731DE"/>
    <w:rsid w:val="00D7704E"/>
    <w:rsid w:val="00D8471A"/>
    <w:rsid w:val="00DA3FF2"/>
    <w:rsid w:val="00DB3AB5"/>
    <w:rsid w:val="00DD6C5E"/>
    <w:rsid w:val="00DD76AB"/>
    <w:rsid w:val="00DE000E"/>
    <w:rsid w:val="00DF4180"/>
    <w:rsid w:val="00DF53E6"/>
    <w:rsid w:val="00E0771A"/>
    <w:rsid w:val="00E25396"/>
    <w:rsid w:val="00E26E7E"/>
    <w:rsid w:val="00E304EF"/>
    <w:rsid w:val="00E321F5"/>
    <w:rsid w:val="00E34B64"/>
    <w:rsid w:val="00E37474"/>
    <w:rsid w:val="00E463F3"/>
    <w:rsid w:val="00E65DDD"/>
    <w:rsid w:val="00E820E7"/>
    <w:rsid w:val="00EC7805"/>
    <w:rsid w:val="00EF422C"/>
    <w:rsid w:val="00F007B9"/>
    <w:rsid w:val="00F00872"/>
    <w:rsid w:val="00F0498F"/>
    <w:rsid w:val="00F06866"/>
    <w:rsid w:val="00F07039"/>
    <w:rsid w:val="00F1635D"/>
    <w:rsid w:val="00F21B39"/>
    <w:rsid w:val="00F22B7D"/>
    <w:rsid w:val="00F33E2C"/>
    <w:rsid w:val="00F42DA4"/>
    <w:rsid w:val="00F46854"/>
    <w:rsid w:val="00F62495"/>
    <w:rsid w:val="00F65E6F"/>
    <w:rsid w:val="00FA0235"/>
    <w:rsid w:val="00FB265D"/>
    <w:rsid w:val="00FB3D0A"/>
    <w:rsid w:val="00FB3E2B"/>
    <w:rsid w:val="00FB4A78"/>
    <w:rsid w:val="00FC0F1E"/>
    <w:rsid w:val="00FC4F55"/>
    <w:rsid w:val="00FD1DB5"/>
    <w:rsid w:val="00FE1E9E"/>
    <w:rsid w:val="00FF2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0B"/>
  </w:style>
  <w:style w:type="paragraph" w:styleId="Heading1">
    <w:name w:val="heading 1"/>
    <w:basedOn w:val="Normal"/>
    <w:next w:val="Normal"/>
    <w:link w:val="Heading1Char"/>
    <w:uiPriority w:val="9"/>
    <w:qFormat/>
    <w:rsid w:val="00893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C7805"/>
    <w:pPr>
      <w:keepNext/>
      <w:keepLines/>
      <w:spacing w:before="200" w:after="0"/>
      <w:outlineLvl w:val="1"/>
    </w:pPr>
    <w:rPr>
      <w:rFonts w:ascii="Cambria" w:eastAsia="Calibri" w:hAnsi="Cambria" w:cs="Times New Roman"/>
      <w:b/>
      <w:bCs/>
      <w:color w:val="4F81BD"/>
      <w:sz w:val="26"/>
      <w:szCs w:val="26"/>
    </w:rPr>
  </w:style>
  <w:style w:type="paragraph" w:styleId="Heading3">
    <w:name w:val="heading 3"/>
    <w:basedOn w:val="Normal"/>
    <w:next w:val="Normal"/>
    <w:link w:val="Heading3Char"/>
    <w:uiPriority w:val="9"/>
    <w:unhideWhenUsed/>
    <w:qFormat/>
    <w:rsid w:val="007717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EC7805"/>
    <w:rPr>
      <w:rFonts w:ascii="Cambria" w:eastAsia="Calibri" w:hAnsi="Cambria" w:cs="Times New Roman"/>
      <w:b/>
      <w:bCs/>
      <w:color w:val="4F81BD"/>
      <w:sz w:val="26"/>
      <w:szCs w:val="26"/>
    </w:rPr>
  </w:style>
  <w:style w:type="paragraph" w:styleId="Header">
    <w:name w:val="header"/>
    <w:basedOn w:val="Normal"/>
    <w:link w:val="HeaderChar"/>
    <w:uiPriority w:val="99"/>
    <w:unhideWhenUsed/>
    <w:rsid w:val="00EC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05"/>
  </w:style>
  <w:style w:type="paragraph" w:styleId="Footer">
    <w:name w:val="footer"/>
    <w:basedOn w:val="Normal"/>
    <w:link w:val="FooterChar"/>
    <w:uiPriority w:val="99"/>
    <w:unhideWhenUsed/>
    <w:rsid w:val="00EC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05"/>
  </w:style>
  <w:style w:type="paragraph" w:styleId="ListParagraph">
    <w:name w:val="List Paragraph"/>
    <w:basedOn w:val="Normal"/>
    <w:uiPriority w:val="34"/>
    <w:qFormat/>
    <w:rsid w:val="006F4129"/>
    <w:pPr>
      <w:ind w:left="720"/>
      <w:contextualSpacing/>
    </w:pPr>
  </w:style>
  <w:style w:type="paragraph" w:styleId="NoSpacing">
    <w:name w:val="No Spacing"/>
    <w:uiPriority w:val="1"/>
    <w:qFormat/>
    <w:rsid w:val="000E58C0"/>
    <w:pPr>
      <w:spacing w:after="0" w:line="240" w:lineRule="auto"/>
    </w:pPr>
  </w:style>
  <w:style w:type="character" w:customStyle="1" w:styleId="Heading1Char">
    <w:name w:val="Heading 1 Char"/>
    <w:basedOn w:val="DefaultParagraphFont"/>
    <w:link w:val="Heading1"/>
    <w:uiPriority w:val="9"/>
    <w:rsid w:val="00893F9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717E7"/>
    <w:rPr>
      <w:rFonts w:asciiTheme="majorHAnsi" w:eastAsiaTheme="majorEastAsia" w:hAnsiTheme="majorHAnsi" w:cstheme="majorBidi"/>
      <w:b/>
      <w:bCs/>
      <w:color w:val="4F81BD" w:themeColor="accent1"/>
    </w:rPr>
  </w:style>
  <w:style w:type="table" w:styleId="TableGrid">
    <w:name w:val="Table Grid"/>
    <w:basedOn w:val="TableNormal"/>
    <w:uiPriority w:val="59"/>
    <w:rsid w:val="007B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B4EBE"/>
    <w:pPr>
      <w:tabs>
        <w:tab w:val="decimal" w:pos="360"/>
      </w:tabs>
    </w:pPr>
    <w:rPr>
      <w:rFonts w:eastAsiaTheme="minorEastAsia"/>
    </w:rPr>
  </w:style>
  <w:style w:type="paragraph" w:styleId="FootnoteText">
    <w:name w:val="footnote text"/>
    <w:basedOn w:val="Normal"/>
    <w:link w:val="FootnoteTextChar"/>
    <w:unhideWhenUsed/>
    <w:rsid w:val="007B4EBE"/>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7B4EBE"/>
    <w:rPr>
      <w:rFonts w:eastAsiaTheme="minorEastAsia"/>
      <w:sz w:val="20"/>
      <w:szCs w:val="20"/>
    </w:rPr>
  </w:style>
  <w:style w:type="character" w:styleId="SubtleEmphasis">
    <w:name w:val="Subtle Emphasis"/>
    <w:basedOn w:val="DefaultParagraphFont"/>
    <w:uiPriority w:val="19"/>
    <w:qFormat/>
    <w:rsid w:val="007B4EB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B4EB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B4EB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7B4E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7B4EB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rsid w:val="00C75E4F"/>
    <w:rPr>
      <w:vertAlign w:val="superscript"/>
    </w:rPr>
  </w:style>
  <w:style w:type="character" w:styleId="Hyperlink">
    <w:name w:val="Hyperlink"/>
    <w:basedOn w:val="DefaultParagraphFont"/>
    <w:uiPriority w:val="99"/>
    <w:rsid w:val="00C75E4F"/>
    <w:rPr>
      <w:color w:val="0000FF" w:themeColor="hyperlink"/>
      <w:u w:val="single"/>
    </w:rPr>
  </w:style>
  <w:style w:type="paragraph" w:styleId="TOCHeading">
    <w:name w:val="TOC Heading"/>
    <w:basedOn w:val="Heading1"/>
    <w:next w:val="Normal"/>
    <w:uiPriority w:val="39"/>
    <w:semiHidden/>
    <w:unhideWhenUsed/>
    <w:qFormat/>
    <w:rsid w:val="0029380E"/>
    <w:pPr>
      <w:outlineLvl w:val="9"/>
    </w:pPr>
  </w:style>
  <w:style w:type="paragraph" w:styleId="TOC1">
    <w:name w:val="toc 1"/>
    <w:basedOn w:val="Normal"/>
    <w:next w:val="Normal"/>
    <w:autoRedefine/>
    <w:uiPriority w:val="39"/>
    <w:unhideWhenUsed/>
    <w:rsid w:val="0029380E"/>
    <w:pPr>
      <w:spacing w:after="100"/>
    </w:pPr>
  </w:style>
  <w:style w:type="paragraph" w:styleId="BalloonText">
    <w:name w:val="Balloon Text"/>
    <w:basedOn w:val="Normal"/>
    <w:link w:val="BalloonTextChar"/>
    <w:uiPriority w:val="99"/>
    <w:semiHidden/>
    <w:unhideWhenUsed/>
    <w:rsid w:val="0029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0E"/>
    <w:rPr>
      <w:rFonts w:ascii="Tahoma" w:hAnsi="Tahoma" w:cs="Tahoma"/>
      <w:sz w:val="16"/>
      <w:szCs w:val="16"/>
    </w:rPr>
  </w:style>
  <w:style w:type="character" w:styleId="CommentReference">
    <w:name w:val="annotation reference"/>
    <w:basedOn w:val="DefaultParagraphFont"/>
    <w:uiPriority w:val="99"/>
    <w:semiHidden/>
    <w:unhideWhenUsed/>
    <w:rsid w:val="00F22B7D"/>
    <w:rPr>
      <w:sz w:val="16"/>
      <w:szCs w:val="16"/>
    </w:rPr>
  </w:style>
  <w:style w:type="paragraph" w:styleId="CommentText">
    <w:name w:val="annotation text"/>
    <w:basedOn w:val="Normal"/>
    <w:link w:val="CommentTextChar"/>
    <w:uiPriority w:val="99"/>
    <w:unhideWhenUsed/>
    <w:rsid w:val="00F22B7D"/>
    <w:pPr>
      <w:spacing w:line="240" w:lineRule="auto"/>
    </w:pPr>
    <w:rPr>
      <w:sz w:val="20"/>
      <w:szCs w:val="20"/>
    </w:rPr>
  </w:style>
  <w:style w:type="character" w:customStyle="1" w:styleId="CommentTextChar">
    <w:name w:val="Comment Text Char"/>
    <w:basedOn w:val="DefaultParagraphFont"/>
    <w:link w:val="CommentText"/>
    <w:uiPriority w:val="99"/>
    <w:rsid w:val="00F22B7D"/>
    <w:rPr>
      <w:sz w:val="20"/>
      <w:szCs w:val="20"/>
    </w:rPr>
  </w:style>
  <w:style w:type="paragraph" w:styleId="CommentSubject">
    <w:name w:val="annotation subject"/>
    <w:basedOn w:val="CommentText"/>
    <w:next w:val="CommentText"/>
    <w:link w:val="CommentSubjectChar"/>
    <w:uiPriority w:val="99"/>
    <w:semiHidden/>
    <w:unhideWhenUsed/>
    <w:rsid w:val="00F22B7D"/>
    <w:rPr>
      <w:b/>
      <w:bCs/>
    </w:rPr>
  </w:style>
  <w:style w:type="character" w:customStyle="1" w:styleId="CommentSubjectChar">
    <w:name w:val="Comment Subject Char"/>
    <w:basedOn w:val="CommentTextChar"/>
    <w:link w:val="CommentSubject"/>
    <w:uiPriority w:val="99"/>
    <w:semiHidden/>
    <w:rsid w:val="00F22B7D"/>
    <w:rPr>
      <w:b/>
      <w:bCs/>
      <w:sz w:val="20"/>
      <w:szCs w:val="20"/>
    </w:rPr>
  </w:style>
  <w:style w:type="paragraph" w:styleId="EndnoteText">
    <w:name w:val="endnote text"/>
    <w:basedOn w:val="BodyText"/>
    <w:link w:val="EndnoteTextChar"/>
    <w:uiPriority w:val="99"/>
    <w:unhideWhenUsed/>
    <w:rsid w:val="000019FD"/>
    <w:pPr>
      <w:spacing w:after="40" w:line="240" w:lineRule="auto"/>
      <w:jc w:val="both"/>
    </w:pPr>
    <w:rPr>
      <w:rFonts w:ascii="Segoe UI" w:hAnsi="Segoe UI"/>
      <w:position w:val="6"/>
      <w:sz w:val="12"/>
      <w:szCs w:val="20"/>
    </w:rPr>
  </w:style>
  <w:style w:type="character" w:customStyle="1" w:styleId="EndnoteTextChar">
    <w:name w:val="Endnote Text Char"/>
    <w:basedOn w:val="DefaultParagraphFont"/>
    <w:link w:val="EndnoteText"/>
    <w:uiPriority w:val="99"/>
    <w:rsid w:val="000019FD"/>
    <w:rPr>
      <w:rFonts w:ascii="Segoe UI" w:hAnsi="Segoe UI"/>
      <w:position w:val="6"/>
      <w:sz w:val="12"/>
      <w:szCs w:val="20"/>
    </w:rPr>
  </w:style>
  <w:style w:type="character" w:styleId="EndnoteReference">
    <w:name w:val="endnote reference"/>
    <w:basedOn w:val="DefaultParagraphFont"/>
    <w:uiPriority w:val="99"/>
    <w:unhideWhenUsed/>
    <w:rsid w:val="000019FD"/>
    <w:rPr>
      <w:rFonts w:ascii="Segoe UI" w:hAnsi="Segoe UI"/>
      <w:b w:val="0"/>
      <w:i w:val="0"/>
      <w:vanish w:val="0"/>
      <w:spacing w:val="0"/>
      <w:w w:val="100"/>
      <w:position w:val="6"/>
      <w:sz w:val="12"/>
      <w:vertAlign w:val="baseline"/>
    </w:rPr>
  </w:style>
  <w:style w:type="paragraph" w:styleId="BodyText">
    <w:name w:val="Body Text"/>
    <w:basedOn w:val="Normal"/>
    <w:link w:val="BodyTextChar"/>
    <w:uiPriority w:val="99"/>
    <w:semiHidden/>
    <w:unhideWhenUsed/>
    <w:rsid w:val="000019FD"/>
    <w:pPr>
      <w:spacing w:after="120"/>
    </w:pPr>
  </w:style>
  <w:style w:type="character" w:customStyle="1" w:styleId="BodyTextChar">
    <w:name w:val="Body Text Char"/>
    <w:basedOn w:val="DefaultParagraphFont"/>
    <w:link w:val="BodyText"/>
    <w:uiPriority w:val="99"/>
    <w:semiHidden/>
    <w:rsid w:val="000019FD"/>
  </w:style>
  <w:style w:type="paragraph" w:styleId="PlainText">
    <w:name w:val="Plain Text"/>
    <w:basedOn w:val="Normal"/>
    <w:link w:val="PlainTextChar"/>
    <w:uiPriority w:val="99"/>
    <w:unhideWhenUsed/>
    <w:rsid w:val="00E07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771A"/>
    <w:rPr>
      <w:rFonts w:ascii="Consolas" w:hAnsi="Consolas"/>
      <w:sz w:val="21"/>
      <w:szCs w:val="21"/>
    </w:rPr>
  </w:style>
  <w:style w:type="paragraph" w:customStyle="1" w:styleId="HTMLBody">
    <w:name w:val="HTML Body"/>
    <w:rsid w:val="00922971"/>
    <w:pPr>
      <w:widowControl w:val="0"/>
      <w:autoSpaceDE w:val="0"/>
      <w:autoSpaceDN w:val="0"/>
      <w:adjustRightInd w:val="0"/>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0B"/>
  </w:style>
  <w:style w:type="paragraph" w:styleId="Heading1">
    <w:name w:val="heading 1"/>
    <w:basedOn w:val="Normal"/>
    <w:next w:val="Normal"/>
    <w:link w:val="Heading1Char"/>
    <w:uiPriority w:val="9"/>
    <w:qFormat/>
    <w:rsid w:val="00893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C7805"/>
    <w:pPr>
      <w:keepNext/>
      <w:keepLines/>
      <w:spacing w:before="200" w:after="0"/>
      <w:outlineLvl w:val="1"/>
    </w:pPr>
    <w:rPr>
      <w:rFonts w:ascii="Cambria" w:eastAsia="Calibri" w:hAnsi="Cambria" w:cs="Times New Roman"/>
      <w:b/>
      <w:bCs/>
      <w:color w:val="4F81BD"/>
      <w:sz w:val="26"/>
      <w:szCs w:val="26"/>
    </w:rPr>
  </w:style>
  <w:style w:type="paragraph" w:styleId="Heading3">
    <w:name w:val="heading 3"/>
    <w:basedOn w:val="Normal"/>
    <w:next w:val="Normal"/>
    <w:link w:val="Heading3Char"/>
    <w:uiPriority w:val="9"/>
    <w:unhideWhenUsed/>
    <w:qFormat/>
    <w:rsid w:val="007717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EC7805"/>
    <w:rPr>
      <w:rFonts w:ascii="Cambria" w:eastAsia="Calibri" w:hAnsi="Cambria" w:cs="Times New Roman"/>
      <w:b/>
      <w:bCs/>
      <w:color w:val="4F81BD"/>
      <w:sz w:val="26"/>
      <w:szCs w:val="26"/>
    </w:rPr>
  </w:style>
  <w:style w:type="paragraph" w:styleId="Header">
    <w:name w:val="header"/>
    <w:basedOn w:val="Normal"/>
    <w:link w:val="HeaderChar"/>
    <w:uiPriority w:val="99"/>
    <w:unhideWhenUsed/>
    <w:rsid w:val="00EC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05"/>
  </w:style>
  <w:style w:type="paragraph" w:styleId="Footer">
    <w:name w:val="footer"/>
    <w:basedOn w:val="Normal"/>
    <w:link w:val="FooterChar"/>
    <w:uiPriority w:val="99"/>
    <w:unhideWhenUsed/>
    <w:rsid w:val="00EC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05"/>
  </w:style>
  <w:style w:type="paragraph" w:styleId="ListParagraph">
    <w:name w:val="List Paragraph"/>
    <w:basedOn w:val="Normal"/>
    <w:uiPriority w:val="34"/>
    <w:qFormat/>
    <w:rsid w:val="006F4129"/>
    <w:pPr>
      <w:ind w:left="720"/>
      <w:contextualSpacing/>
    </w:pPr>
  </w:style>
  <w:style w:type="paragraph" w:styleId="NoSpacing">
    <w:name w:val="No Spacing"/>
    <w:uiPriority w:val="1"/>
    <w:qFormat/>
    <w:rsid w:val="000E58C0"/>
    <w:pPr>
      <w:spacing w:after="0" w:line="240" w:lineRule="auto"/>
    </w:pPr>
  </w:style>
  <w:style w:type="character" w:customStyle="1" w:styleId="Heading1Char">
    <w:name w:val="Heading 1 Char"/>
    <w:basedOn w:val="DefaultParagraphFont"/>
    <w:link w:val="Heading1"/>
    <w:uiPriority w:val="9"/>
    <w:rsid w:val="00893F9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717E7"/>
    <w:rPr>
      <w:rFonts w:asciiTheme="majorHAnsi" w:eastAsiaTheme="majorEastAsia" w:hAnsiTheme="majorHAnsi" w:cstheme="majorBidi"/>
      <w:b/>
      <w:bCs/>
      <w:color w:val="4F81BD" w:themeColor="accent1"/>
    </w:rPr>
  </w:style>
  <w:style w:type="table" w:styleId="TableGrid">
    <w:name w:val="Table Grid"/>
    <w:basedOn w:val="TableNormal"/>
    <w:uiPriority w:val="59"/>
    <w:rsid w:val="007B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B4EBE"/>
    <w:pPr>
      <w:tabs>
        <w:tab w:val="decimal" w:pos="360"/>
      </w:tabs>
    </w:pPr>
    <w:rPr>
      <w:rFonts w:eastAsiaTheme="minorEastAsia"/>
    </w:rPr>
  </w:style>
  <w:style w:type="paragraph" w:styleId="FootnoteText">
    <w:name w:val="footnote text"/>
    <w:basedOn w:val="Normal"/>
    <w:link w:val="FootnoteTextChar"/>
    <w:unhideWhenUsed/>
    <w:rsid w:val="007B4EBE"/>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7B4EBE"/>
    <w:rPr>
      <w:rFonts w:eastAsiaTheme="minorEastAsia"/>
      <w:sz w:val="20"/>
      <w:szCs w:val="20"/>
    </w:rPr>
  </w:style>
  <w:style w:type="character" w:styleId="SubtleEmphasis">
    <w:name w:val="Subtle Emphasis"/>
    <w:basedOn w:val="DefaultParagraphFont"/>
    <w:uiPriority w:val="19"/>
    <w:qFormat/>
    <w:rsid w:val="007B4EB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B4EB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B4EB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7B4E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7B4EB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rsid w:val="00C75E4F"/>
    <w:rPr>
      <w:vertAlign w:val="superscript"/>
    </w:rPr>
  </w:style>
  <w:style w:type="character" w:styleId="Hyperlink">
    <w:name w:val="Hyperlink"/>
    <w:basedOn w:val="DefaultParagraphFont"/>
    <w:uiPriority w:val="99"/>
    <w:rsid w:val="00C75E4F"/>
    <w:rPr>
      <w:color w:val="0000FF" w:themeColor="hyperlink"/>
      <w:u w:val="single"/>
    </w:rPr>
  </w:style>
  <w:style w:type="paragraph" w:styleId="TOCHeading">
    <w:name w:val="TOC Heading"/>
    <w:basedOn w:val="Heading1"/>
    <w:next w:val="Normal"/>
    <w:uiPriority w:val="39"/>
    <w:semiHidden/>
    <w:unhideWhenUsed/>
    <w:qFormat/>
    <w:rsid w:val="0029380E"/>
    <w:pPr>
      <w:outlineLvl w:val="9"/>
    </w:pPr>
  </w:style>
  <w:style w:type="paragraph" w:styleId="TOC1">
    <w:name w:val="toc 1"/>
    <w:basedOn w:val="Normal"/>
    <w:next w:val="Normal"/>
    <w:autoRedefine/>
    <w:uiPriority w:val="39"/>
    <w:unhideWhenUsed/>
    <w:rsid w:val="0029380E"/>
    <w:pPr>
      <w:spacing w:after="100"/>
    </w:pPr>
  </w:style>
  <w:style w:type="paragraph" w:styleId="BalloonText">
    <w:name w:val="Balloon Text"/>
    <w:basedOn w:val="Normal"/>
    <w:link w:val="BalloonTextChar"/>
    <w:uiPriority w:val="99"/>
    <w:semiHidden/>
    <w:unhideWhenUsed/>
    <w:rsid w:val="0029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0E"/>
    <w:rPr>
      <w:rFonts w:ascii="Tahoma" w:hAnsi="Tahoma" w:cs="Tahoma"/>
      <w:sz w:val="16"/>
      <w:szCs w:val="16"/>
    </w:rPr>
  </w:style>
  <w:style w:type="character" w:styleId="CommentReference">
    <w:name w:val="annotation reference"/>
    <w:basedOn w:val="DefaultParagraphFont"/>
    <w:uiPriority w:val="99"/>
    <w:semiHidden/>
    <w:unhideWhenUsed/>
    <w:rsid w:val="00F22B7D"/>
    <w:rPr>
      <w:sz w:val="16"/>
      <w:szCs w:val="16"/>
    </w:rPr>
  </w:style>
  <w:style w:type="paragraph" w:styleId="CommentText">
    <w:name w:val="annotation text"/>
    <w:basedOn w:val="Normal"/>
    <w:link w:val="CommentTextChar"/>
    <w:uiPriority w:val="99"/>
    <w:unhideWhenUsed/>
    <w:rsid w:val="00F22B7D"/>
    <w:pPr>
      <w:spacing w:line="240" w:lineRule="auto"/>
    </w:pPr>
    <w:rPr>
      <w:sz w:val="20"/>
      <w:szCs w:val="20"/>
    </w:rPr>
  </w:style>
  <w:style w:type="character" w:customStyle="1" w:styleId="CommentTextChar">
    <w:name w:val="Comment Text Char"/>
    <w:basedOn w:val="DefaultParagraphFont"/>
    <w:link w:val="CommentText"/>
    <w:uiPriority w:val="99"/>
    <w:rsid w:val="00F22B7D"/>
    <w:rPr>
      <w:sz w:val="20"/>
      <w:szCs w:val="20"/>
    </w:rPr>
  </w:style>
  <w:style w:type="paragraph" w:styleId="CommentSubject">
    <w:name w:val="annotation subject"/>
    <w:basedOn w:val="CommentText"/>
    <w:next w:val="CommentText"/>
    <w:link w:val="CommentSubjectChar"/>
    <w:uiPriority w:val="99"/>
    <w:semiHidden/>
    <w:unhideWhenUsed/>
    <w:rsid w:val="00F22B7D"/>
    <w:rPr>
      <w:b/>
      <w:bCs/>
    </w:rPr>
  </w:style>
  <w:style w:type="character" w:customStyle="1" w:styleId="CommentSubjectChar">
    <w:name w:val="Comment Subject Char"/>
    <w:basedOn w:val="CommentTextChar"/>
    <w:link w:val="CommentSubject"/>
    <w:uiPriority w:val="99"/>
    <w:semiHidden/>
    <w:rsid w:val="00F22B7D"/>
    <w:rPr>
      <w:b/>
      <w:bCs/>
      <w:sz w:val="20"/>
      <w:szCs w:val="20"/>
    </w:rPr>
  </w:style>
</w:styles>
</file>

<file path=word/webSettings.xml><?xml version="1.0" encoding="utf-8"?>
<w:webSettings xmlns:r="http://schemas.openxmlformats.org/officeDocument/2006/relationships" xmlns:w="http://schemas.openxmlformats.org/wordprocessingml/2006/main">
  <w:divs>
    <w:div w:id="18507499">
      <w:bodyDiv w:val="1"/>
      <w:marLeft w:val="0"/>
      <w:marRight w:val="0"/>
      <w:marTop w:val="0"/>
      <w:marBottom w:val="0"/>
      <w:divBdr>
        <w:top w:val="none" w:sz="0" w:space="0" w:color="auto"/>
        <w:left w:val="none" w:sz="0" w:space="0" w:color="auto"/>
        <w:bottom w:val="none" w:sz="0" w:space="0" w:color="auto"/>
        <w:right w:val="none" w:sz="0" w:space="0" w:color="auto"/>
      </w:divBdr>
    </w:div>
    <w:div w:id="27610432">
      <w:bodyDiv w:val="1"/>
      <w:marLeft w:val="0"/>
      <w:marRight w:val="0"/>
      <w:marTop w:val="0"/>
      <w:marBottom w:val="0"/>
      <w:divBdr>
        <w:top w:val="none" w:sz="0" w:space="0" w:color="auto"/>
        <w:left w:val="none" w:sz="0" w:space="0" w:color="auto"/>
        <w:bottom w:val="none" w:sz="0" w:space="0" w:color="auto"/>
        <w:right w:val="none" w:sz="0" w:space="0" w:color="auto"/>
      </w:divBdr>
    </w:div>
    <w:div w:id="38936812">
      <w:bodyDiv w:val="1"/>
      <w:marLeft w:val="0"/>
      <w:marRight w:val="0"/>
      <w:marTop w:val="0"/>
      <w:marBottom w:val="0"/>
      <w:divBdr>
        <w:top w:val="none" w:sz="0" w:space="0" w:color="auto"/>
        <w:left w:val="none" w:sz="0" w:space="0" w:color="auto"/>
        <w:bottom w:val="none" w:sz="0" w:space="0" w:color="auto"/>
        <w:right w:val="none" w:sz="0" w:space="0" w:color="auto"/>
      </w:divBdr>
    </w:div>
    <w:div w:id="84109626">
      <w:bodyDiv w:val="1"/>
      <w:marLeft w:val="0"/>
      <w:marRight w:val="0"/>
      <w:marTop w:val="0"/>
      <w:marBottom w:val="0"/>
      <w:divBdr>
        <w:top w:val="none" w:sz="0" w:space="0" w:color="auto"/>
        <w:left w:val="none" w:sz="0" w:space="0" w:color="auto"/>
        <w:bottom w:val="none" w:sz="0" w:space="0" w:color="auto"/>
        <w:right w:val="none" w:sz="0" w:space="0" w:color="auto"/>
      </w:divBdr>
    </w:div>
    <w:div w:id="100809566">
      <w:bodyDiv w:val="1"/>
      <w:marLeft w:val="0"/>
      <w:marRight w:val="0"/>
      <w:marTop w:val="0"/>
      <w:marBottom w:val="0"/>
      <w:divBdr>
        <w:top w:val="none" w:sz="0" w:space="0" w:color="auto"/>
        <w:left w:val="none" w:sz="0" w:space="0" w:color="auto"/>
        <w:bottom w:val="none" w:sz="0" w:space="0" w:color="auto"/>
        <w:right w:val="none" w:sz="0" w:space="0" w:color="auto"/>
      </w:divBdr>
    </w:div>
    <w:div w:id="127289537">
      <w:bodyDiv w:val="1"/>
      <w:marLeft w:val="0"/>
      <w:marRight w:val="0"/>
      <w:marTop w:val="0"/>
      <w:marBottom w:val="0"/>
      <w:divBdr>
        <w:top w:val="none" w:sz="0" w:space="0" w:color="auto"/>
        <w:left w:val="none" w:sz="0" w:space="0" w:color="auto"/>
        <w:bottom w:val="none" w:sz="0" w:space="0" w:color="auto"/>
        <w:right w:val="none" w:sz="0" w:space="0" w:color="auto"/>
      </w:divBdr>
    </w:div>
    <w:div w:id="146557319">
      <w:bodyDiv w:val="1"/>
      <w:marLeft w:val="0"/>
      <w:marRight w:val="0"/>
      <w:marTop w:val="0"/>
      <w:marBottom w:val="0"/>
      <w:divBdr>
        <w:top w:val="none" w:sz="0" w:space="0" w:color="auto"/>
        <w:left w:val="none" w:sz="0" w:space="0" w:color="auto"/>
        <w:bottom w:val="none" w:sz="0" w:space="0" w:color="auto"/>
        <w:right w:val="none" w:sz="0" w:space="0" w:color="auto"/>
      </w:divBdr>
    </w:div>
    <w:div w:id="168567443">
      <w:bodyDiv w:val="1"/>
      <w:marLeft w:val="0"/>
      <w:marRight w:val="0"/>
      <w:marTop w:val="0"/>
      <w:marBottom w:val="0"/>
      <w:divBdr>
        <w:top w:val="none" w:sz="0" w:space="0" w:color="auto"/>
        <w:left w:val="none" w:sz="0" w:space="0" w:color="auto"/>
        <w:bottom w:val="none" w:sz="0" w:space="0" w:color="auto"/>
        <w:right w:val="none" w:sz="0" w:space="0" w:color="auto"/>
      </w:divBdr>
    </w:div>
    <w:div w:id="216405195">
      <w:bodyDiv w:val="1"/>
      <w:marLeft w:val="0"/>
      <w:marRight w:val="0"/>
      <w:marTop w:val="0"/>
      <w:marBottom w:val="0"/>
      <w:divBdr>
        <w:top w:val="none" w:sz="0" w:space="0" w:color="auto"/>
        <w:left w:val="none" w:sz="0" w:space="0" w:color="auto"/>
        <w:bottom w:val="none" w:sz="0" w:space="0" w:color="auto"/>
        <w:right w:val="none" w:sz="0" w:space="0" w:color="auto"/>
      </w:divBdr>
    </w:div>
    <w:div w:id="216553314">
      <w:bodyDiv w:val="1"/>
      <w:marLeft w:val="0"/>
      <w:marRight w:val="0"/>
      <w:marTop w:val="0"/>
      <w:marBottom w:val="0"/>
      <w:divBdr>
        <w:top w:val="none" w:sz="0" w:space="0" w:color="auto"/>
        <w:left w:val="none" w:sz="0" w:space="0" w:color="auto"/>
        <w:bottom w:val="none" w:sz="0" w:space="0" w:color="auto"/>
        <w:right w:val="none" w:sz="0" w:space="0" w:color="auto"/>
      </w:divBdr>
    </w:div>
    <w:div w:id="221138918">
      <w:bodyDiv w:val="1"/>
      <w:marLeft w:val="0"/>
      <w:marRight w:val="0"/>
      <w:marTop w:val="0"/>
      <w:marBottom w:val="0"/>
      <w:divBdr>
        <w:top w:val="none" w:sz="0" w:space="0" w:color="auto"/>
        <w:left w:val="none" w:sz="0" w:space="0" w:color="auto"/>
        <w:bottom w:val="none" w:sz="0" w:space="0" w:color="auto"/>
        <w:right w:val="none" w:sz="0" w:space="0" w:color="auto"/>
      </w:divBdr>
    </w:div>
    <w:div w:id="236980233">
      <w:bodyDiv w:val="1"/>
      <w:marLeft w:val="0"/>
      <w:marRight w:val="0"/>
      <w:marTop w:val="0"/>
      <w:marBottom w:val="0"/>
      <w:divBdr>
        <w:top w:val="none" w:sz="0" w:space="0" w:color="auto"/>
        <w:left w:val="none" w:sz="0" w:space="0" w:color="auto"/>
        <w:bottom w:val="none" w:sz="0" w:space="0" w:color="auto"/>
        <w:right w:val="none" w:sz="0" w:space="0" w:color="auto"/>
      </w:divBdr>
    </w:div>
    <w:div w:id="253247744">
      <w:bodyDiv w:val="1"/>
      <w:marLeft w:val="0"/>
      <w:marRight w:val="0"/>
      <w:marTop w:val="0"/>
      <w:marBottom w:val="0"/>
      <w:divBdr>
        <w:top w:val="none" w:sz="0" w:space="0" w:color="auto"/>
        <w:left w:val="none" w:sz="0" w:space="0" w:color="auto"/>
        <w:bottom w:val="none" w:sz="0" w:space="0" w:color="auto"/>
        <w:right w:val="none" w:sz="0" w:space="0" w:color="auto"/>
      </w:divBdr>
    </w:div>
    <w:div w:id="263267886">
      <w:bodyDiv w:val="1"/>
      <w:marLeft w:val="0"/>
      <w:marRight w:val="0"/>
      <w:marTop w:val="0"/>
      <w:marBottom w:val="0"/>
      <w:divBdr>
        <w:top w:val="none" w:sz="0" w:space="0" w:color="auto"/>
        <w:left w:val="none" w:sz="0" w:space="0" w:color="auto"/>
        <w:bottom w:val="none" w:sz="0" w:space="0" w:color="auto"/>
        <w:right w:val="none" w:sz="0" w:space="0" w:color="auto"/>
      </w:divBdr>
    </w:div>
    <w:div w:id="276986315">
      <w:bodyDiv w:val="1"/>
      <w:marLeft w:val="0"/>
      <w:marRight w:val="0"/>
      <w:marTop w:val="0"/>
      <w:marBottom w:val="0"/>
      <w:divBdr>
        <w:top w:val="none" w:sz="0" w:space="0" w:color="auto"/>
        <w:left w:val="none" w:sz="0" w:space="0" w:color="auto"/>
        <w:bottom w:val="none" w:sz="0" w:space="0" w:color="auto"/>
        <w:right w:val="none" w:sz="0" w:space="0" w:color="auto"/>
      </w:divBdr>
    </w:div>
    <w:div w:id="279000529">
      <w:bodyDiv w:val="1"/>
      <w:marLeft w:val="0"/>
      <w:marRight w:val="0"/>
      <w:marTop w:val="0"/>
      <w:marBottom w:val="0"/>
      <w:divBdr>
        <w:top w:val="none" w:sz="0" w:space="0" w:color="auto"/>
        <w:left w:val="none" w:sz="0" w:space="0" w:color="auto"/>
        <w:bottom w:val="none" w:sz="0" w:space="0" w:color="auto"/>
        <w:right w:val="none" w:sz="0" w:space="0" w:color="auto"/>
      </w:divBdr>
    </w:div>
    <w:div w:id="279991827">
      <w:bodyDiv w:val="1"/>
      <w:marLeft w:val="0"/>
      <w:marRight w:val="0"/>
      <w:marTop w:val="0"/>
      <w:marBottom w:val="0"/>
      <w:divBdr>
        <w:top w:val="none" w:sz="0" w:space="0" w:color="auto"/>
        <w:left w:val="none" w:sz="0" w:space="0" w:color="auto"/>
        <w:bottom w:val="none" w:sz="0" w:space="0" w:color="auto"/>
        <w:right w:val="none" w:sz="0" w:space="0" w:color="auto"/>
      </w:divBdr>
    </w:div>
    <w:div w:id="293415721">
      <w:bodyDiv w:val="1"/>
      <w:marLeft w:val="0"/>
      <w:marRight w:val="0"/>
      <w:marTop w:val="0"/>
      <w:marBottom w:val="0"/>
      <w:divBdr>
        <w:top w:val="none" w:sz="0" w:space="0" w:color="auto"/>
        <w:left w:val="none" w:sz="0" w:space="0" w:color="auto"/>
        <w:bottom w:val="none" w:sz="0" w:space="0" w:color="auto"/>
        <w:right w:val="none" w:sz="0" w:space="0" w:color="auto"/>
      </w:divBdr>
    </w:div>
    <w:div w:id="301156322">
      <w:bodyDiv w:val="1"/>
      <w:marLeft w:val="0"/>
      <w:marRight w:val="0"/>
      <w:marTop w:val="0"/>
      <w:marBottom w:val="0"/>
      <w:divBdr>
        <w:top w:val="none" w:sz="0" w:space="0" w:color="auto"/>
        <w:left w:val="none" w:sz="0" w:space="0" w:color="auto"/>
        <w:bottom w:val="none" w:sz="0" w:space="0" w:color="auto"/>
        <w:right w:val="none" w:sz="0" w:space="0" w:color="auto"/>
      </w:divBdr>
    </w:div>
    <w:div w:id="308248168">
      <w:bodyDiv w:val="1"/>
      <w:marLeft w:val="0"/>
      <w:marRight w:val="0"/>
      <w:marTop w:val="0"/>
      <w:marBottom w:val="0"/>
      <w:divBdr>
        <w:top w:val="none" w:sz="0" w:space="0" w:color="auto"/>
        <w:left w:val="none" w:sz="0" w:space="0" w:color="auto"/>
        <w:bottom w:val="none" w:sz="0" w:space="0" w:color="auto"/>
        <w:right w:val="none" w:sz="0" w:space="0" w:color="auto"/>
      </w:divBdr>
    </w:div>
    <w:div w:id="331228640">
      <w:bodyDiv w:val="1"/>
      <w:marLeft w:val="0"/>
      <w:marRight w:val="0"/>
      <w:marTop w:val="0"/>
      <w:marBottom w:val="0"/>
      <w:divBdr>
        <w:top w:val="none" w:sz="0" w:space="0" w:color="auto"/>
        <w:left w:val="none" w:sz="0" w:space="0" w:color="auto"/>
        <w:bottom w:val="none" w:sz="0" w:space="0" w:color="auto"/>
        <w:right w:val="none" w:sz="0" w:space="0" w:color="auto"/>
      </w:divBdr>
    </w:div>
    <w:div w:id="338625100">
      <w:bodyDiv w:val="1"/>
      <w:marLeft w:val="0"/>
      <w:marRight w:val="0"/>
      <w:marTop w:val="0"/>
      <w:marBottom w:val="0"/>
      <w:divBdr>
        <w:top w:val="none" w:sz="0" w:space="0" w:color="auto"/>
        <w:left w:val="none" w:sz="0" w:space="0" w:color="auto"/>
        <w:bottom w:val="none" w:sz="0" w:space="0" w:color="auto"/>
        <w:right w:val="none" w:sz="0" w:space="0" w:color="auto"/>
      </w:divBdr>
    </w:div>
    <w:div w:id="344788896">
      <w:bodyDiv w:val="1"/>
      <w:marLeft w:val="0"/>
      <w:marRight w:val="0"/>
      <w:marTop w:val="0"/>
      <w:marBottom w:val="0"/>
      <w:divBdr>
        <w:top w:val="none" w:sz="0" w:space="0" w:color="auto"/>
        <w:left w:val="none" w:sz="0" w:space="0" w:color="auto"/>
        <w:bottom w:val="none" w:sz="0" w:space="0" w:color="auto"/>
        <w:right w:val="none" w:sz="0" w:space="0" w:color="auto"/>
      </w:divBdr>
    </w:div>
    <w:div w:id="366757179">
      <w:bodyDiv w:val="1"/>
      <w:marLeft w:val="0"/>
      <w:marRight w:val="0"/>
      <w:marTop w:val="0"/>
      <w:marBottom w:val="0"/>
      <w:divBdr>
        <w:top w:val="none" w:sz="0" w:space="0" w:color="auto"/>
        <w:left w:val="none" w:sz="0" w:space="0" w:color="auto"/>
        <w:bottom w:val="none" w:sz="0" w:space="0" w:color="auto"/>
        <w:right w:val="none" w:sz="0" w:space="0" w:color="auto"/>
      </w:divBdr>
    </w:div>
    <w:div w:id="384916449">
      <w:bodyDiv w:val="1"/>
      <w:marLeft w:val="0"/>
      <w:marRight w:val="0"/>
      <w:marTop w:val="0"/>
      <w:marBottom w:val="0"/>
      <w:divBdr>
        <w:top w:val="none" w:sz="0" w:space="0" w:color="auto"/>
        <w:left w:val="none" w:sz="0" w:space="0" w:color="auto"/>
        <w:bottom w:val="none" w:sz="0" w:space="0" w:color="auto"/>
        <w:right w:val="none" w:sz="0" w:space="0" w:color="auto"/>
      </w:divBdr>
    </w:div>
    <w:div w:id="390738227">
      <w:bodyDiv w:val="1"/>
      <w:marLeft w:val="0"/>
      <w:marRight w:val="0"/>
      <w:marTop w:val="0"/>
      <w:marBottom w:val="0"/>
      <w:divBdr>
        <w:top w:val="none" w:sz="0" w:space="0" w:color="auto"/>
        <w:left w:val="none" w:sz="0" w:space="0" w:color="auto"/>
        <w:bottom w:val="none" w:sz="0" w:space="0" w:color="auto"/>
        <w:right w:val="none" w:sz="0" w:space="0" w:color="auto"/>
      </w:divBdr>
    </w:div>
    <w:div w:id="442921674">
      <w:bodyDiv w:val="1"/>
      <w:marLeft w:val="0"/>
      <w:marRight w:val="0"/>
      <w:marTop w:val="0"/>
      <w:marBottom w:val="0"/>
      <w:divBdr>
        <w:top w:val="none" w:sz="0" w:space="0" w:color="auto"/>
        <w:left w:val="none" w:sz="0" w:space="0" w:color="auto"/>
        <w:bottom w:val="none" w:sz="0" w:space="0" w:color="auto"/>
        <w:right w:val="none" w:sz="0" w:space="0" w:color="auto"/>
      </w:divBdr>
    </w:div>
    <w:div w:id="447703205">
      <w:bodyDiv w:val="1"/>
      <w:marLeft w:val="0"/>
      <w:marRight w:val="0"/>
      <w:marTop w:val="0"/>
      <w:marBottom w:val="0"/>
      <w:divBdr>
        <w:top w:val="none" w:sz="0" w:space="0" w:color="auto"/>
        <w:left w:val="none" w:sz="0" w:space="0" w:color="auto"/>
        <w:bottom w:val="none" w:sz="0" w:space="0" w:color="auto"/>
        <w:right w:val="none" w:sz="0" w:space="0" w:color="auto"/>
      </w:divBdr>
    </w:div>
    <w:div w:id="454376044">
      <w:bodyDiv w:val="1"/>
      <w:marLeft w:val="0"/>
      <w:marRight w:val="0"/>
      <w:marTop w:val="0"/>
      <w:marBottom w:val="0"/>
      <w:divBdr>
        <w:top w:val="none" w:sz="0" w:space="0" w:color="auto"/>
        <w:left w:val="none" w:sz="0" w:space="0" w:color="auto"/>
        <w:bottom w:val="none" w:sz="0" w:space="0" w:color="auto"/>
        <w:right w:val="none" w:sz="0" w:space="0" w:color="auto"/>
      </w:divBdr>
    </w:div>
    <w:div w:id="455292982">
      <w:bodyDiv w:val="1"/>
      <w:marLeft w:val="0"/>
      <w:marRight w:val="0"/>
      <w:marTop w:val="0"/>
      <w:marBottom w:val="0"/>
      <w:divBdr>
        <w:top w:val="none" w:sz="0" w:space="0" w:color="auto"/>
        <w:left w:val="none" w:sz="0" w:space="0" w:color="auto"/>
        <w:bottom w:val="none" w:sz="0" w:space="0" w:color="auto"/>
        <w:right w:val="none" w:sz="0" w:space="0" w:color="auto"/>
      </w:divBdr>
    </w:div>
    <w:div w:id="464351241">
      <w:bodyDiv w:val="1"/>
      <w:marLeft w:val="0"/>
      <w:marRight w:val="0"/>
      <w:marTop w:val="0"/>
      <w:marBottom w:val="0"/>
      <w:divBdr>
        <w:top w:val="none" w:sz="0" w:space="0" w:color="auto"/>
        <w:left w:val="none" w:sz="0" w:space="0" w:color="auto"/>
        <w:bottom w:val="none" w:sz="0" w:space="0" w:color="auto"/>
        <w:right w:val="none" w:sz="0" w:space="0" w:color="auto"/>
      </w:divBdr>
    </w:div>
    <w:div w:id="468279364">
      <w:bodyDiv w:val="1"/>
      <w:marLeft w:val="0"/>
      <w:marRight w:val="0"/>
      <w:marTop w:val="0"/>
      <w:marBottom w:val="0"/>
      <w:divBdr>
        <w:top w:val="none" w:sz="0" w:space="0" w:color="auto"/>
        <w:left w:val="none" w:sz="0" w:space="0" w:color="auto"/>
        <w:bottom w:val="none" w:sz="0" w:space="0" w:color="auto"/>
        <w:right w:val="none" w:sz="0" w:space="0" w:color="auto"/>
      </w:divBdr>
    </w:div>
    <w:div w:id="481578851">
      <w:bodyDiv w:val="1"/>
      <w:marLeft w:val="0"/>
      <w:marRight w:val="0"/>
      <w:marTop w:val="0"/>
      <w:marBottom w:val="0"/>
      <w:divBdr>
        <w:top w:val="none" w:sz="0" w:space="0" w:color="auto"/>
        <w:left w:val="none" w:sz="0" w:space="0" w:color="auto"/>
        <w:bottom w:val="none" w:sz="0" w:space="0" w:color="auto"/>
        <w:right w:val="none" w:sz="0" w:space="0" w:color="auto"/>
      </w:divBdr>
    </w:div>
    <w:div w:id="482699995">
      <w:bodyDiv w:val="1"/>
      <w:marLeft w:val="0"/>
      <w:marRight w:val="0"/>
      <w:marTop w:val="0"/>
      <w:marBottom w:val="0"/>
      <w:divBdr>
        <w:top w:val="none" w:sz="0" w:space="0" w:color="auto"/>
        <w:left w:val="none" w:sz="0" w:space="0" w:color="auto"/>
        <w:bottom w:val="none" w:sz="0" w:space="0" w:color="auto"/>
        <w:right w:val="none" w:sz="0" w:space="0" w:color="auto"/>
      </w:divBdr>
    </w:div>
    <w:div w:id="485364743">
      <w:bodyDiv w:val="1"/>
      <w:marLeft w:val="0"/>
      <w:marRight w:val="0"/>
      <w:marTop w:val="0"/>
      <w:marBottom w:val="0"/>
      <w:divBdr>
        <w:top w:val="none" w:sz="0" w:space="0" w:color="auto"/>
        <w:left w:val="none" w:sz="0" w:space="0" w:color="auto"/>
        <w:bottom w:val="none" w:sz="0" w:space="0" w:color="auto"/>
        <w:right w:val="none" w:sz="0" w:space="0" w:color="auto"/>
      </w:divBdr>
    </w:div>
    <w:div w:id="533155860">
      <w:bodyDiv w:val="1"/>
      <w:marLeft w:val="0"/>
      <w:marRight w:val="0"/>
      <w:marTop w:val="0"/>
      <w:marBottom w:val="0"/>
      <w:divBdr>
        <w:top w:val="none" w:sz="0" w:space="0" w:color="auto"/>
        <w:left w:val="none" w:sz="0" w:space="0" w:color="auto"/>
        <w:bottom w:val="none" w:sz="0" w:space="0" w:color="auto"/>
        <w:right w:val="none" w:sz="0" w:space="0" w:color="auto"/>
      </w:divBdr>
    </w:div>
    <w:div w:id="547842451">
      <w:bodyDiv w:val="1"/>
      <w:marLeft w:val="0"/>
      <w:marRight w:val="0"/>
      <w:marTop w:val="0"/>
      <w:marBottom w:val="0"/>
      <w:divBdr>
        <w:top w:val="none" w:sz="0" w:space="0" w:color="auto"/>
        <w:left w:val="none" w:sz="0" w:space="0" w:color="auto"/>
        <w:bottom w:val="none" w:sz="0" w:space="0" w:color="auto"/>
        <w:right w:val="none" w:sz="0" w:space="0" w:color="auto"/>
      </w:divBdr>
    </w:div>
    <w:div w:id="561529804">
      <w:bodyDiv w:val="1"/>
      <w:marLeft w:val="0"/>
      <w:marRight w:val="0"/>
      <w:marTop w:val="0"/>
      <w:marBottom w:val="0"/>
      <w:divBdr>
        <w:top w:val="none" w:sz="0" w:space="0" w:color="auto"/>
        <w:left w:val="none" w:sz="0" w:space="0" w:color="auto"/>
        <w:bottom w:val="none" w:sz="0" w:space="0" w:color="auto"/>
        <w:right w:val="none" w:sz="0" w:space="0" w:color="auto"/>
      </w:divBdr>
    </w:div>
    <w:div w:id="566427712">
      <w:bodyDiv w:val="1"/>
      <w:marLeft w:val="0"/>
      <w:marRight w:val="0"/>
      <w:marTop w:val="0"/>
      <w:marBottom w:val="0"/>
      <w:divBdr>
        <w:top w:val="none" w:sz="0" w:space="0" w:color="auto"/>
        <w:left w:val="none" w:sz="0" w:space="0" w:color="auto"/>
        <w:bottom w:val="none" w:sz="0" w:space="0" w:color="auto"/>
        <w:right w:val="none" w:sz="0" w:space="0" w:color="auto"/>
      </w:divBdr>
    </w:div>
    <w:div w:id="568880669">
      <w:bodyDiv w:val="1"/>
      <w:marLeft w:val="0"/>
      <w:marRight w:val="0"/>
      <w:marTop w:val="0"/>
      <w:marBottom w:val="0"/>
      <w:divBdr>
        <w:top w:val="none" w:sz="0" w:space="0" w:color="auto"/>
        <w:left w:val="none" w:sz="0" w:space="0" w:color="auto"/>
        <w:bottom w:val="none" w:sz="0" w:space="0" w:color="auto"/>
        <w:right w:val="none" w:sz="0" w:space="0" w:color="auto"/>
      </w:divBdr>
    </w:div>
    <w:div w:id="582180633">
      <w:bodyDiv w:val="1"/>
      <w:marLeft w:val="0"/>
      <w:marRight w:val="0"/>
      <w:marTop w:val="0"/>
      <w:marBottom w:val="0"/>
      <w:divBdr>
        <w:top w:val="none" w:sz="0" w:space="0" w:color="auto"/>
        <w:left w:val="none" w:sz="0" w:space="0" w:color="auto"/>
        <w:bottom w:val="none" w:sz="0" w:space="0" w:color="auto"/>
        <w:right w:val="none" w:sz="0" w:space="0" w:color="auto"/>
      </w:divBdr>
    </w:div>
    <w:div w:id="588999426">
      <w:bodyDiv w:val="1"/>
      <w:marLeft w:val="0"/>
      <w:marRight w:val="0"/>
      <w:marTop w:val="0"/>
      <w:marBottom w:val="0"/>
      <w:divBdr>
        <w:top w:val="none" w:sz="0" w:space="0" w:color="auto"/>
        <w:left w:val="none" w:sz="0" w:space="0" w:color="auto"/>
        <w:bottom w:val="none" w:sz="0" w:space="0" w:color="auto"/>
        <w:right w:val="none" w:sz="0" w:space="0" w:color="auto"/>
      </w:divBdr>
    </w:div>
    <w:div w:id="610863198">
      <w:bodyDiv w:val="1"/>
      <w:marLeft w:val="0"/>
      <w:marRight w:val="0"/>
      <w:marTop w:val="0"/>
      <w:marBottom w:val="0"/>
      <w:divBdr>
        <w:top w:val="none" w:sz="0" w:space="0" w:color="auto"/>
        <w:left w:val="none" w:sz="0" w:space="0" w:color="auto"/>
        <w:bottom w:val="none" w:sz="0" w:space="0" w:color="auto"/>
        <w:right w:val="none" w:sz="0" w:space="0" w:color="auto"/>
      </w:divBdr>
    </w:div>
    <w:div w:id="632056841">
      <w:bodyDiv w:val="1"/>
      <w:marLeft w:val="0"/>
      <w:marRight w:val="0"/>
      <w:marTop w:val="0"/>
      <w:marBottom w:val="0"/>
      <w:divBdr>
        <w:top w:val="none" w:sz="0" w:space="0" w:color="auto"/>
        <w:left w:val="none" w:sz="0" w:space="0" w:color="auto"/>
        <w:bottom w:val="none" w:sz="0" w:space="0" w:color="auto"/>
        <w:right w:val="none" w:sz="0" w:space="0" w:color="auto"/>
      </w:divBdr>
    </w:div>
    <w:div w:id="647443129">
      <w:bodyDiv w:val="1"/>
      <w:marLeft w:val="0"/>
      <w:marRight w:val="0"/>
      <w:marTop w:val="0"/>
      <w:marBottom w:val="0"/>
      <w:divBdr>
        <w:top w:val="none" w:sz="0" w:space="0" w:color="auto"/>
        <w:left w:val="none" w:sz="0" w:space="0" w:color="auto"/>
        <w:bottom w:val="none" w:sz="0" w:space="0" w:color="auto"/>
        <w:right w:val="none" w:sz="0" w:space="0" w:color="auto"/>
      </w:divBdr>
    </w:div>
    <w:div w:id="667444206">
      <w:bodyDiv w:val="1"/>
      <w:marLeft w:val="0"/>
      <w:marRight w:val="0"/>
      <w:marTop w:val="0"/>
      <w:marBottom w:val="0"/>
      <w:divBdr>
        <w:top w:val="none" w:sz="0" w:space="0" w:color="auto"/>
        <w:left w:val="none" w:sz="0" w:space="0" w:color="auto"/>
        <w:bottom w:val="none" w:sz="0" w:space="0" w:color="auto"/>
        <w:right w:val="none" w:sz="0" w:space="0" w:color="auto"/>
      </w:divBdr>
    </w:div>
    <w:div w:id="672225914">
      <w:bodyDiv w:val="1"/>
      <w:marLeft w:val="0"/>
      <w:marRight w:val="0"/>
      <w:marTop w:val="0"/>
      <w:marBottom w:val="0"/>
      <w:divBdr>
        <w:top w:val="none" w:sz="0" w:space="0" w:color="auto"/>
        <w:left w:val="none" w:sz="0" w:space="0" w:color="auto"/>
        <w:bottom w:val="none" w:sz="0" w:space="0" w:color="auto"/>
        <w:right w:val="none" w:sz="0" w:space="0" w:color="auto"/>
      </w:divBdr>
      <w:divsChild>
        <w:div w:id="860051987">
          <w:marLeft w:val="547"/>
          <w:marRight w:val="0"/>
          <w:marTop w:val="134"/>
          <w:marBottom w:val="0"/>
          <w:divBdr>
            <w:top w:val="none" w:sz="0" w:space="0" w:color="auto"/>
            <w:left w:val="none" w:sz="0" w:space="0" w:color="auto"/>
            <w:bottom w:val="none" w:sz="0" w:space="0" w:color="auto"/>
            <w:right w:val="none" w:sz="0" w:space="0" w:color="auto"/>
          </w:divBdr>
        </w:div>
      </w:divsChild>
    </w:div>
    <w:div w:id="685592898">
      <w:bodyDiv w:val="1"/>
      <w:marLeft w:val="0"/>
      <w:marRight w:val="0"/>
      <w:marTop w:val="0"/>
      <w:marBottom w:val="0"/>
      <w:divBdr>
        <w:top w:val="none" w:sz="0" w:space="0" w:color="auto"/>
        <w:left w:val="none" w:sz="0" w:space="0" w:color="auto"/>
        <w:bottom w:val="none" w:sz="0" w:space="0" w:color="auto"/>
        <w:right w:val="none" w:sz="0" w:space="0" w:color="auto"/>
      </w:divBdr>
    </w:div>
    <w:div w:id="743796441">
      <w:bodyDiv w:val="1"/>
      <w:marLeft w:val="0"/>
      <w:marRight w:val="0"/>
      <w:marTop w:val="0"/>
      <w:marBottom w:val="0"/>
      <w:divBdr>
        <w:top w:val="none" w:sz="0" w:space="0" w:color="auto"/>
        <w:left w:val="none" w:sz="0" w:space="0" w:color="auto"/>
        <w:bottom w:val="none" w:sz="0" w:space="0" w:color="auto"/>
        <w:right w:val="none" w:sz="0" w:space="0" w:color="auto"/>
      </w:divBdr>
    </w:div>
    <w:div w:id="745954952">
      <w:bodyDiv w:val="1"/>
      <w:marLeft w:val="0"/>
      <w:marRight w:val="0"/>
      <w:marTop w:val="0"/>
      <w:marBottom w:val="0"/>
      <w:divBdr>
        <w:top w:val="none" w:sz="0" w:space="0" w:color="auto"/>
        <w:left w:val="none" w:sz="0" w:space="0" w:color="auto"/>
        <w:bottom w:val="none" w:sz="0" w:space="0" w:color="auto"/>
        <w:right w:val="none" w:sz="0" w:space="0" w:color="auto"/>
      </w:divBdr>
    </w:div>
    <w:div w:id="759520888">
      <w:bodyDiv w:val="1"/>
      <w:marLeft w:val="0"/>
      <w:marRight w:val="0"/>
      <w:marTop w:val="0"/>
      <w:marBottom w:val="0"/>
      <w:divBdr>
        <w:top w:val="none" w:sz="0" w:space="0" w:color="auto"/>
        <w:left w:val="none" w:sz="0" w:space="0" w:color="auto"/>
        <w:bottom w:val="none" w:sz="0" w:space="0" w:color="auto"/>
        <w:right w:val="none" w:sz="0" w:space="0" w:color="auto"/>
      </w:divBdr>
    </w:div>
    <w:div w:id="765658543">
      <w:bodyDiv w:val="1"/>
      <w:marLeft w:val="0"/>
      <w:marRight w:val="0"/>
      <w:marTop w:val="0"/>
      <w:marBottom w:val="0"/>
      <w:divBdr>
        <w:top w:val="none" w:sz="0" w:space="0" w:color="auto"/>
        <w:left w:val="none" w:sz="0" w:space="0" w:color="auto"/>
        <w:bottom w:val="none" w:sz="0" w:space="0" w:color="auto"/>
        <w:right w:val="none" w:sz="0" w:space="0" w:color="auto"/>
      </w:divBdr>
    </w:div>
    <w:div w:id="806776917">
      <w:bodyDiv w:val="1"/>
      <w:marLeft w:val="0"/>
      <w:marRight w:val="0"/>
      <w:marTop w:val="0"/>
      <w:marBottom w:val="0"/>
      <w:divBdr>
        <w:top w:val="none" w:sz="0" w:space="0" w:color="auto"/>
        <w:left w:val="none" w:sz="0" w:space="0" w:color="auto"/>
        <w:bottom w:val="none" w:sz="0" w:space="0" w:color="auto"/>
        <w:right w:val="none" w:sz="0" w:space="0" w:color="auto"/>
      </w:divBdr>
    </w:div>
    <w:div w:id="844324759">
      <w:bodyDiv w:val="1"/>
      <w:marLeft w:val="0"/>
      <w:marRight w:val="0"/>
      <w:marTop w:val="0"/>
      <w:marBottom w:val="0"/>
      <w:divBdr>
        <w:top w:val="none" w:sz="0" w:space="0" w:color="auto"/>
        <w:left w:val="none" w:sz="0" w:space="0" w:color="auto"/>
        <w:bottom w:val="none" w:sz="0" w:space="0" w:color="auto"/>
        <w:right w:val="none" w:sz="0" w:space="0" w:color="auto"/>
      </w:divBdr>
    </w:div>
    <w:div w:id="850677554">
      <w:bodyDiv w:val="1"/>
      <w:marLeft w:val="0"/>
      <w:marRight w:val="0"/>
      <w:marTop w:val="0"/>
      <w:marBottom w:val="0"/>
      <w:divBdr>
        <w:top w:val="none" w:sz="0" w:space="0" w:color="auto"/>
        <w:left w:val="none" w:sz="0" w:space="0" w:color="auto"/>
        <w:bottom w:val="none" w:sz="0" w:space="0" w:color="auto"/>
        <w:right w:val="none" w:sz="0" w:space="0" w:color="auto"/>
      </w:divBdr>
      <w:divsChild>
        <w:div w:id="642387236">
          <w:marLeft w:val="547"/>
          <w:marRight w:val="0"/>
          <w:marTop w:val="134"/>
          <w:marBottom w:val="0"/>
          <w:divBdr>
            <w:top w:val="none" w:sz="0" w:space="0" w:color="auto"/>
            <w:left w:val="none" w:sz="0" w:space="0" w:color="auto"/>
            <w:bottom w:val="none" w:sz="0" w:space="0" w:color="auto"/>
            <w:right w:val="none" w:sz="0" w:space="0" w:color="auto"/>
          </w:divBdr>
        </w:div>
      </w:divsChild>
    </w:div>
    <w:div w:id="863904272">
      <w:bodyDiv w:val="1"/>
      <w:marLeft w:val="0"/>
      <w:marRight w:val="0"/>
      <w:marTop w:val="0"/>
      <w:marBottom w:val="0"/>
      <w:divBdr>
        <w:top w:val="none" w:sz="0" w:space="0" w:color="auto"/>
        <w:left w:val="none" w:sz="0" w:space="0" w:color="auto"/>
        <w:bottom w:val="none" w:sz="0" w:space="0" w:color="auto"/>
        <w:right w:val="none" w:sz="0" w:space="0" w:color="auto"/>
      </w:divBdr>
    </w:div>
    <w:div w:id="884098458">
      <w:bodyDiv w:val="1"/>
      <w:marLeft w:val="0"/>
      <w:marRight w:val="0"/>
      <w:marTop w:val="0"/>
      <w:marBottom w:val="0"/>
      <w:divBdr>
        <w:top w:val="none" w:sz="0" w:space="0" w:color="auto"/>
        <w:left w:val="none" w:sz="0" w:space="0" w:color="auto"/>
        <w:bottom w:val="none" w:sz="0" w:space="0" w:color="auto"/>
        <w:right w:val="none" w:sz="0" w:space="0" w:color="auto"/>
      </w:divBdr>
    </w:div>
    <w:div w:id="913851688">
      <w:bodyDiv w:val="1"/>
      <w:marLeft w:val="0"/>
      <w:marRight w:val="0"/>
      <w:marTop w:val="0"/>
      <w:marBottom w:val="0"/>
      <w:divBdr>
        <w:top w:val="none" w:sz="0" w:space="0" w:color="auto"/>
        <w:left w:val="none" w:sz="0" w:space="0" w:color="auto"/>
        <w:bottom w:val="none" w:sz="0" w:space="0" w:color="auto"/>
        <w:right w:val="none" w:sz="0" w:space="0" w:color="auto"/>
      </w:divBdr>
    </w:div>
    <w:div w:id="923953836">
      <w:bodyDiv w:val="1"/>
      <w:marLeft w:val="0"/>
      <w:marRight w:val="0"/>
      <w:marTop w:val="0"/>
      <w:marBottom w:val="0"/>
      <w:divBdr>
        <w:top w:val="none" w:sz="0" w:space="0" w:color="auto"/>
        <w:left w:val="none" w:sz="0" w:space="0" w:color="auto"/>
        <w:bottom w:val="none" w:sz="0" w:space="0" w:color="auto"/>
        <w:right w:val="none" w:sz="0" w:space="0" w:color="auto"/>
      </w:divBdr>
    </w:div>
    <w:div w:id="934019792">
      <w:bodyDiv w:val="1"/>
      <w:marLeft w:val="0"/>
      <w:marRight w:val="0"/>
      <w:marTop w:val="0"/>
      <w:marBottom w:val="0"/>
      <w:divBdr>
        <w:top w:val="none" w:sz="0" w:space="0" w:color="auto"/>
        <w:left w:val="none" w:sz="0" w:space="0" w:color="auto"/>
        <w:bottom w:val="none" w:sz="0" w:space="0" w:color="auto"/>
        <w:right w:val="none" w:sz="0" w:space="0" w:color="auto"/>
      </w:divBdr>
    </w:div>
    <w:div w:id="940643967">
      <w:bodyDiv w:val="1"/>
      <w:marLeft w:val="0"/>
      <w:marRight w:val="0"/>
      <w:marTop w:val="0"/>
      <w:marBottom w:val="0"/>
      <w:divBdr>
        <w:top w:val="none" w:sz="0" w:space="0" w:color="auto"/>
        <w:left w:val="none" w:sz="0" w:space="0" w:color="auto"/>
        <w:bottom w:val="none" w:sz="0" w:space="0" w:color="auto"/>
        <w:right w:val="none" w:sz="0" w:space="0" w:color="auto"/>
      </w:divBdr>
    </w:div>
    <w:div w:id="996229826">
      <w:bodyDiv w:val="1"/>
      <w:marLeft w:val="0"/>
      <w:marRight w:val="0"/>
      <w:marTop w:val="0"/>
      <w:marBottom w:val="0"/>
      <w:divBdr>
        <w:top w:val="none" w:sz="0" w:space="0" w:color="auto"/>
        <w:left w:val="none" w:sz="0" w:space="0" w:color="auto"/>
        <w:bottom w:val="none" w:sz="0" w:space="0" w:color="auto"/>
        <w:right w:val="none" w:sz="0" w:space="0" w:color="auto"/>
      </w:divBdr>
    </w:div>
    <w:div w:id="1014840112">
      <w:bodyDiv w:val="1"/>
      <w:marLeft w:val="0"/>
      <w:marRight w:val="0"/>
      <w:marTop w:val="0"/>
      <w:marBottom w:val="0"/>
      <w:divBdr>
        <w:top w:val="none" w:sz="0" w:space="0" w:color="auto"/>
        <w:left w:val="none" w:sz="0" w:space="0" w:color="auto"/>
        <w:bottom w:val="none" w:sz="0" w:space="0" w:color="auto"/>
        <w:right w:val="none" w:sz="0" w:space="0" w:color="auto"/>
      </w:divBdr>
    </w:div>
    <w:div w:id="1017192656">
      <w:bodyDiv w:val="1"/>
      <w:marLeft w:val="0"/>
      <w:marRight w:val="0"/>
      <w:marTop w:val="0"/>
      <w:marBottom w:val="0"/>
      <w:divBdr>
        <w:top w:val="none" w:sz="0" w:space="0" w:color="auto"/>
        <w:left w:val="none" w:sz="0" w:space="0" w:color="auto"/>
        <w:bottom w:val="none" w:sz="0" w:space="0" w:color="auto"/>
        <w:right w:val="none" w:sz="0" w:space="0" w:color="auto"/>
      </w:divBdr>
    </w:div>
    <w:div w:id="1023744384">
      <w:bodyDiv w:val="1"/>
      <w:marLeft w:val="0"/>
      <w:marRight w:val="0"/>
      <w:marTop w:val="0"/>
      <w:marBottom w:val="0"/>
      <w:divBdr>
        <w:top w:val="none" w:sz="0" w:space="0" w:color="auto"/>
        <w:left w:val="none" w:sz="0" w:space="0" w:color="auto"/>
        <w:bottom w:val="none" w:sz="0" w:space="0" w:color="auto"/>
        <w:right w:val="none" w:sz="0" w:space="0" w:color="auto"/>
      </w:divBdr>
    </w:div>
    <w:div w:id="1033964042">
      <w:bodyDiv w:val="1"/>
      <w:marLeft w:val="0"/>
      <w:marRight w:val="0"/>
      <w:marTop w:val="0"/>
      <w:marBottom w:val="0"/>
      <w:divBdr>
        <w:top w:val="none" w:sz="0" w:space="0" w:color="auto"/>
        <w:left w:val="none" w:sz="0" w:space="0" w:color="auto"/>
        <w:bottom w:val="none" w:sz="0" w:space="0" w:color="auto"/>
        <w:right w:val="none" w:sz="0" w:space="0" w:color="auto"/>
      </w:divBdr>
    </w:div>
    <w:div w:id="1034038167">
      <w:bodyDiv w:val="1"/>
      <w:marLeft w:val="0"/>
      <w:marRight w:val="0"/>
      <w:marTop w:val="0"/>
      <w:marBottom w:val="0"/>
      <w:divBdr>
        <w:top w:val="none" w:sz="0" w:space="0" w:color="auto"/>
        <w:left w:val="none" w:sz="0" w:space="0" w:color="auto"/>
        <w:bottom w:val="none" w:sz="0" w:space="0" w:color="auto"/>
        <w:right w:val="none" w:sz="0" w:space="0" w:color="auto"/>
      </w:divBdr>
    </w:div>
    <w:div w:id="1057121787">
      <w:bodyDiv w:val="1"/>
      <w:marLeft w:val="0"/>
      <w:marRight w:val="0"/>
      <w:marTop w:val="0"/>
      <w:marBottom w:val="0"/>
      <w:divBdr>
        <w:top w:val="none" w:sz="0" w:space="0" w:color="auto"/>
        <w:left w:val="none" w:sz="0" w:space="0" w:color="auto"/>
        <w:bottom w:val="none" w:sz="0" w:space="0" w:color="auto"/>
        <w:right w:val="none" w:sz="0" w:space="0" w:color="auto"/>
      </w:divBdr>
    </w:div>
    <w:div w:id="1062797958">
      <w:bodyDiv w:val="1"/>
      <w:marLeft w:val="0"/>
      <w:marRight w:val="0"/>
      <w:marTop w:val="0"/>
      <w:marBottom w:val="0"/>
      <w:divBdr>
        <w:top w:val="none" w:sz="0" w:space="0" w:color="auto"/>
        <w:left w:val="none" w:sz="0" w:space="0" w:color="auto"/>
        <w:bottom w:val="none" w:sz="0" w:space="0" w:color="auto"/>
        <w:right w:val="none" w:sz="0" w:space="0" w:color="auto"/>
      </w:divBdr>
    </w:div>
    <w:div w:id="1063797737">
      <w:bodyDiv w:val="1"/>
      <w:marLeft w:val="0"/>
      <w:marRight w:val="0"/>
      <w:marTop w:val="0"/>
      <w:marBottom w:val="0"/>
      <w:divBdr>
        <w:top w:val="none" w:sz="0" w:space="0" w:color="auto"/>
        <w:left w:val="none" w:sz="0" w:space="0" w:color="auto"/>
        <w:bottom w:val="none" w:sz="0" w:space="0" w:color="auto"/>
        <w:right w:val="none" w:sz="0" w:space="0" w:color="auto"/>
      </w:divBdr>
    </w:div>
    <w:div w:id="1069692805">
      <w:bodyDiv w:val="1"/>
      <w:marLeft w:val="0"/>
      <w:marRight w:val="0"/>
      <w:marTop w:val="0"/>
      <w:marBottom w:val="0"/>
      <w:divBdr>
        <w:top w:val="none" w:sz="0" w:space="0" w:color="auto"/>
        <w:left w:val="none" w:sz="0" w:space="0" w:color="auto"/>
        <w:bottom w:val="none" w:sz="0" w:space="0" w:color="auto"/>
        <w:right w:val="none" w:sz="0" w:space="0" w:color="auto"/>
      </w:divBdr>
    </w:div>
    <w:div w:id="1116875783">
      <w:bodyDiv w:val="1"/>
      <w:marLeft w:val="0"/>
      <w:marRight w:val="0"/>
      <w:marTop w:val="0"/>
      <w:marBottom w:val="0"/>
      <w:divBdr>
        <w:top w:val="none" w:sz="0" w:space="0" w:color="auto"/>
        <w:left w:val="none" w:sz="0" w:space="0" w:color="auto"/>
        <w:bottom w:val="none" w:sz="0" w:space="0" w:color="auto"/>
        <w:right w:val="none" w:sz="0" w:space="0" w:color="auto"/>
      </w:divBdr>
    </w:div>
    <w:div w:id="1117673999">
      <w:bodyDiv w:val="1"/>
      <w:marLeft w:val="0"/>
      <w:marRight w:val="0"/>
      <w:marTop w:val="0"/>
      <w:marBottom w:val="0"/>
      <w:divBdr>
        <w:top w:val="none" w:sz="0" w:space="0" w:color="auto"/>
        <w:left w:val="none" w:sz="0" w:space="0" w:color="auto"/>
        <w:bottom w:val="none" w:sz="0" w:space="0" w:color="auto"/>
        <w:right w:val="none" w:sz="0" w:space="0" w:color="auto"/>
      </w:divBdr>
    </w:div>
    <w:div w:id="1122454311">
      <w:bodyDiv w:val="1"/>
      <w:marLeft w:val="0"/>
      <w:marRight w:val="0"/>
      <w:marTop w:val="0"/>
      <w:marBottom w:val="0"/>
      <w:divBdr>
        <w:top w:val="none" w:sz="0" w:space="0" w:color="auto"/>
        <w:left w:val="none" w:sz="0" w:space="0" w:color="auto"/>
        <w:bottom w:val="none" w:sz="0" w:space="0" w:color="auto"/>
        <w:right w:val="none" w:sz="0" w:space="0" w:color="auto"/>
      </w:divBdr>
    </w:div>
    <w:div w:id="1124150604">
      <w:bodyDiv w:val="1"/>
      <w:marLeft w:val="0"/>
      <w:marRight w:val="0"/>
      <w:marTop w:val="0"/>
      <w:marBottom w:val="0"/>
      <w:divBdr>
        <w:top w:val="none" w:sz="0" w:space="0" w:color="auto"/>
        <w:left w:val="none" w:sz="0" w:space="0" w:color="auto"/>
        <w:bottom w:val="none" w:sz="0" w:space="0" w:color="auto"/>
        <w:right w:val="none" w:sz="0" w:space="0" w:color="auto"/>
      </w:divBdr>
    </w:div>
    <w:div w:id="1128470475">
      <w:bodyDiv w:val="1"/>
      <w:marLeft w:val="0"/>
      <w:marRight w:val="0"/>
      <w:marTop w:val="0"/>
      <w:marBottom w:val="0"/>
      <w:divBdr>
        <w:top w:val="none" w:sz="0" w:space="0" w:color="auto"/>
        <w:left w:val="none" w:sz="0" w:space="0" w:color="auto"/>
        <w:bottom w:val="none" w:sz="0" w:space="0" w:color="auto"/>
        <w:right w:val="none" w:sz="0" w:space="0" w:color="auto"/>
      </w:divBdr>
    </w:div>
    <w:div w:id="1130855518">
      <w:bodyDiv w:val="1"/>
      <w:marLeft w:val="0"/>
      <w:marRight w:val="0"/>
      <w:marTop w:val="0"/>
      <w:marBottom w:val="0"/>
      <w:divBdr>
        <w:top w:val="none" w:sz="0" w:space="0" w:color="auto"/>
        <w:left w:val="none" w:sz="0" w:space="0" w:color="auto"/>
        <w:bottom w:val="none" w:sz="0" w:space="0" w:color="auto"/>
        <w:right w:val="none" w:sz="0" w:space="0" w:color="auto"/>
      </w:divBdr>
    </w:div>
    <w:div w:id="1133060426">
      <w:bodyDiv w:val="1"/>
      <w:marLeft w:val="0"/>
      <w:marRight w:val="0"/>
      <w:marTop w:val="0"/>
      <w:marBottom w:val="0"/>
      <w:divBdr>
        <w:top w:val="none" w:sz="0" w:space="0" w:color="auto"/>
        <w:left w:val="none" w:sz="0" w:space="0" w:color="auto"/>
        <w:bottom w:val="none" w:sz="0" w:space="0" w:color="auto"/>
        <w:right w:val="none" w:sz="0" w:space="0" w:color="auto"/>
      </w:divBdr>
    </w:div>
    <w:div w:id="1140465387">
      <w:bodyDiv w:val="1"/>
      <w:marLeft w:val="0"/>
      <w:marRight w:val="0"/>
      <w:marTop w:val="0"/>
      <w:marBottom w:val="0"/>
      <w:divBdr>
        <w:top w:val="none" w:sz="0" w:space="0" w:color="auto"/>
        <w:left w:val="none" w:sz="0" w:space="0" w:color="auto"/>
        <w:bottom w:val="none" w:sz="0" w:space="0" w:color="auto"/>
        <w:right w:val="none" w:sz="0" w:space="0" w:color="auto"/>
      </w:divBdr>
    </w:div>
    <w:div w:id="1191793954">
      <w:bodyDiv w:val="1"/>
      <w:marLeft w:val="0"/>
      <w:marRight w:val="0"/>
      <w:marTop w:val="0"/>
      <w:marBottom w:val="0"/>
      <w:divBdr>
        <w:top w:val="none" w:sz="0" w:space="0" w:color="auto"/>
        <w:left w:val="none" w:sz="0" w:space="0" w:color="auto"/>
        <w:bottom w:val="none" w:sz="0" w:space="0" w:color="auto"/>
        <w:right w:val="none" w:sz="0" w:space="0" w:color="auto"/>
      </w:divBdr>
    </w:div>
    <w:div w:id="1196969802">
      <w:bodyDiv w:val="1"/>
      <w:marLeft w:val="0"/>
      <w:marRight w:val="0"/>
      <w:marTop w:val="0"/>
      <w:marBottom w:val="0"/>
      <w:divBdr>
        <w:top w:val="none" w:sz="0" w:space="0" w:color="auto"/>
        <w:left w:val="none" w:sz="0" w:space="0" w:color="auto"/>
        <w:bottom w:val="none" w:sz="0" w:space="0" w:color="auto"/>
        <w:right w:val="none" w:sz="0" w:space="0" w:color="auto"/>
      </w:divBdr>
    </w:div>
    <w:div w:id="1238174285">
      <w:bodyDiv w:val="1"/>
      <w:marLeft w:val="0"/>
      <w:marRight w:val="0"/>
      <w:marTop w:val="0"/>
      <w:marBottom w:val="0"/>
      <w:divBdr>
        <w:top w:val="none" w:sz="0" w:space="0" w:color="auto"/>
        <w:left w:val="none" w:sz="0" w:space="0" w:color="auto"/>
        <w:bottom w:val="none" w:sz="0" w:space="0" w:color="auto"/>
        <w:right w:val="none" w:sz="0" w:space="0" w:color="auto"/>
      </w:divBdr>
    </w:div>
    <w:div w:id="1284112713">
      <w:bodyDiv w:val="1"/>
      <w:marLeft w:val="0"/>
      <w:marRight w:val="0"/>
      <w:marTop w:val="0"/>
      <w:marBottom w:val="0"/>
      <w:divBdr>
        <w:top w:val="none" w:sz="0" w:space="0" w:color="auto"/>
        <w:left w:val="none" w:sz="0" w:space="0" w:color="auto"/>
        <w:bottom w:val="none" w:sz="0" w:space="0" w:color="auto"/>
        <w:right w:val="none" w:sz="0" w:space="0" w:color="auto"/>
      </w:divBdr>
    </w:div>
    <w:div w:id="1294285951">
      <w:bodyDiv w:val="1"/>
      <w:marLeft w:val="0"/>
      <w:marRight w:val="0"/>
      <w:marTop w:val="0"/>
      <w:marBottom w:val="0"/>
      <w:divBdr>
        <w:top w:val="none" w:sz="0" w:space="0" w:color="auto"/>
        <w:left w:val="none" w:sz="0" w:space="0" w:color="auto"/>
        <w:bottom w:val="none" w:sz="0" w:space="0" w:color="auto"/>
        <w:right w:val="none" w:sz="0" w:space="0" w:color="auto"/>
      </w:divBdr>
    </w:div>
    <w:div w:id="1312949170">
      <w:bodyDiv w:val="1"/>
      <w:marLeft w:val="0"/>
      <w:marRight w:val="0"/>
      <w:marTop w:val="0"/>
      <w:marBottom w:val="0"/>
      <w:divBdr>
        <w:top w:val="none" w:sz="0" w:space="0" w:color="auto"/>
        <w:left w:val="none" w:sz="0" w:space="0" w:color="auto"/>
        <w:bottom w:val="none" w:sz="0" w:space="0" w:color="auto"/>
        <w:right w:val="none" w:sz="0" w:space="0" w:color="auto"/>
      </w:divBdr>
      <w:divsChild>
        <w:div w:id="550925339">
          <w:marLeft w:val="547"/>
          <w:marRight w:val="0"/>
          <w:marTop w:val="0"/>
          <w:marBottom w:val="0"/>
          <w:divBdr>
            <w:top w:val="none" w:sz="0" w:space="0" w:color="auto"/>
            <w:left w:val="none" w:sz="0" w:space="0" w:color="auto"/>
            <w:bottom w:val="none" w:sz="0" w:space="0" w:color="auto"/>
            <w:right w:val="none" w:sz="0" w:space="0" w:color="auto"/>
          </w:divBdr>
        </w:div>
        <w:div w:id="1333801165">
          <w:marLeft w:val="547"/>
          <w:marRight w:val="0"/>
          <w:marTop w:val="0"/>
          <w:marBottom w:val="0"/>
          <w:divBdr>
            <w:top w:val="none" w:sz="0" w:space="0" w:color="auto"/>
            <w:left w:val="none" w:sz="0" w:space="0" w:color="auto"/>
            <w:bottom w:val="none" w:sz="0" w:space="0" w:color="auto"/>
            <w:right w:val="none" w:sz="0" w:space="0" w:color="auto"/>
          </w:divBdr>
        </w:div>
        <w:div w:id="1924728042">
          <w:marLeft w:val="547"/>
          <w:marRight w:val="0"/>
          <w:marTop w:val="0"/>
          <w:marBottom w:val="0"/>
          <w:divBdr>
            <w:top w:val="none" w:sz="0" w:space="0" w:color="auto"/>
            <w:left w:val="none" w:sz="0" w:space="0" w:color="auto"/>
            <w:bottom w:val="none" w:sz="0" w:space="0" w:color="auto"/>
            <w:right w:val="none" w:sz="0" w:space="0" w:color="auto"/>
          </w:divBdr>
        </w:div>
      </w:divsChild>
    </w:div>
    <w:div w:id="1314456065">
      <w:bodyDiv w:val="1"/>
      <w:marLeft w:val="0"/>
      <w:marRight w:val="0"/>
      <w:marTop w:val="0"/>
      <w:marBottom w:val="0"/>
      <w:divBdr>
        <w:top w:val="none" w:sz="0" w:space="0" w:color="auto"/>
        <w:left w:val="none" w:sz="0" w:space="0" w:color="auto"/>
        <w:bottom w:val="none" w:sz="0" w:space="0" w:color="auto"/>
        <w:right w:val="none" w:sz="0" w:space="0" w:color="auto"/>
      </w:divBdr>
    </w:div>
    <w:div w:id="1323586264">
      <w:bodyDiv w:val="1"/>
      <w:marLeft w:val="0"/>
      <w:marRight w:val="0"/>
      <w:marTop w:val="0"/>
      <w:marBottom w:val="0"/>
      <w:divBdr>
        <w:top w:val="none" w:sz="0" w:space="0" w:color="auto"/>
        <w:left w:val="none" w:sz="0" w:space="0" w:color="auto"/>
        <w:bottom w:val="none" w:sz="0" w:space="0" w:color="auto"/>
        <w:right w:val="none" w:sz="0" w:space="0" w:color="auto"/>
      </w:divBdr>
    </w:div>
    <w:div w:id="1333142943">
      <w:bodyDiv w:val="1"/>
      <w:marLeft w:val="0"/>
      <w:marRight w:val="0"/>
      <w:marTop w:val="0"/>
      <w:marBottom w:val="0"/>
      <w:divBdr>
        <w:top w:val="none" w:sz="0" w:space="0" w:color="auto"/>
        <w:left w:val="none" w:sz="0" w:space="0" w:color="auto"/>
        <w:bottom w:val="none" w:sz="0" w:space="0" w:color="auto"/>
        <w:right w:val="none" w:sz="0" w:space="0" w:color="auto"/>
      </w:divBdr>
    </w:div>
    <w:div w:id="1337422716">
      <w:bodyDiv w:val="1"/>
      <w:marLeft w:val="0"/>
      <w:marRight w:val="0"/>
      <w:marTop w:val="0"/>
      <w:marBottom w:val="0"/>
      <w:divBdr>
        <w:top w:val="none" w:sz="0" w:space="0" w:color="auto"/>
        <w:left w:val="none" w:sz="0" w:space="0" w:color="auto"/>
        <w:bottom w:val="none" w:sz="0" w:space="0" w:color="auto"/>
        <w:right w:val="none" w:sz="0" w:space="0" w:color="auto"/>
      </w:divBdr>
    </w:div>
    <w:div w:id="1340502517">
      <w:bodyDiv w:val="1"/>
      <w:marLeft w:val="0"/>
      <w:marRight w:val="0"/>
      <w:marTop w:val="0"/>
      <w:marBottom w:val="0"/>
      <w:divBdr>
        <w:top w:val="none" w:sz="0" w:space="0" w:color="auto"/>
        <w:left w:val="none" w:sz="0" w:space="0" w:color="auto"/>
        <w:bottom w:val="none" w:sz="0" w:space="0" w:color="auto"/>
        <w:right w:val="none" w:sz="0" w:space="0" w:color="auto"/>
      </w:divBdr>
    </w:div>
    <w:div w:id="1366523858">
      <w:bodyDiv w:val="1"/>
      <w:marLeft w:val="0"/>
      <w:marRight w:val="0"/>
      <w:marTop w:val="0"/>
      <w:marBottom w:val="0"/>
      <w:divBdr>
        <w:top w:val="none" w:sz="0" w:space="0" w:color="auto"/>
        <w:left w:val="none" w:sz="0" w:space="0" w:color="auto"/>
        <w:bottom w:val="none" w:sz="0" w:space="0" w:color="auto"/>
        <w:right w:val="none" w:sz="0" w:space="0" w:color="auto"/>
      </w:divBdr>
    </w:div>
    <w:div w:id="1367146539">
      <w:bodyDiv w:val="1"/>
      <w:marLeft w:val="0"/>
      <w:marRight w:val="0"/>
      <w:marTop w:val="0"/>
      <w:marBottom w:val="0"/>
      <w:divBdr>
        <w:top w:val="none" w:sz="0" w:space="0" w:color="auto"/>
        <w:left w:val="none" w:sz="0" w:space="0" w:color="auto"/>
        <w:bottom w:val="none" w:sz="0" w:space="0" w:color="auto"/>
        <w:right w:val="none" w:sz="0" w:space="0" w:color="auto"/>
      </w:divBdr>
    </w:div>
    <w:div w:id="1379477949">
      <w:bodyDiv w:val="1"/>
      <w:marLeft w:val="0"/>
      <w:marRight w:val="0"/>
      <w:marTop w:val="0"/>
      <w:marBottom w:val="0"/>
      <w:divBdr>
        <w:top w:val="none" w:sz="0" w:space="0" w:color="auto"/>
        <w:left w:val="none" w:sz="0" w:space="0" w:color="auto"/>
        <w:bottom w:val="none" w:sz="0" w:space="0" w:color="auto"/>
        <w:right w:val="none" w:sz="0" w:space="0" w:color="auto"/>
      </w:divBdr>
      <w:divsChild>
        <w:div w:id="284490">
          <w:marLeft w:val="547"/>
          <w:marRight w:val="0"/>
          <w:marTop w:val="134"/>
          <w:marBottom w:val="0"/>
          <w:divBdr>
            <w:top w:val="none" w:sz="0" w:space="0" w:color="auto"/>
            <w:left w:val="none" w:sz="0" w:space="0" w:color="auto"/>
            <w:bottom w:val="none" w:sz="0" w:space="0" w:color="auto"/>
            <w:right w:val="none" w:sz="0" w:space="0" w:color="auto"/>
          </w:divBdr>
        </w:div>
      </w:divsChild>
    </w:div>
    <w:div w:id="1383484072">
      <w:bodyDiv w:val="1"/>
      <w:marLeft w:val="0"/>
      <w:marRight w:val="0"/>
      <w:marTop w:val="0"/>
      <w:marBottom w:val="0"/>
      <w:divBdr>
        <w:top w:val="none" w:sz="0" w:space="0" w:color="auto"/>
        <w:left w:val="none" w:sz="0" w:space="0" w:color="auto"/>
        <w:bottom w:val="none" w:sz="0" w:space="0" w:color="auto"/>
        <w:right w:val="none" w:sz="0" w:space="0" w:color="auto"/>
      </w:divBdr>
    </w:div>
    <w:div w:id="1393192416">
      <w:bodyDiv w:val="1"/>
      <w:marLeft w:val="0"/>
      <w:marRight w:val="0"/>
      <w:marTop w:val="0"/>
      <w:marBottom w:val="0"/>
      <w:divBdr>
        <w:top w:val="none" w:sz="0" w:space="0" w:color="auto"/>
        <w:left w:val="none" w:sz="0" w:space="0" w:color="auto"/>
        <w:bottom w:val="none" w:sz="0" w:space="0" w:color="auto"/>
        <w:right w:val="none" w:sz="0" w:space="0" w:color="auto"/>
      </w:divBdr>
    </w:div>
    <w:div w:id="1414425896">
      <w:bodyDiv w:val="1"/>
      <w:marLeft w:val="0"/>
      <w:marRight w:val="0"/>
      <w:marTop w:val="0"/>
      <w:marBottom w:val="0"/>
      <w:divBdr>
        <w:top w:val="none" w:sz="0" w:space="0" w:color="auto"/>
        <w:left w:val="none" w:sz="0" w:space="0" w:color="auto"/>
        <w:bottom w:val="none" w:sz="0" w:space="0" w:color="auto"/>
        <w:right w:val="none" w:sz="0" w:space="0" w:color="auto"/>
      </w:divBdr>
      <w:divsChild>
        <w:div w:id="1552182422">
          <w:marLeft w:val="547"/>
          <w:marRight w:val="0"/>
          <w:marTop w:val="134"/>
          <w:marBottom w:val="0"/>
          <w:divBdr>
            <w:top w:val="none" w:sz="0" w:space="0" w:color="auto"/>
            <w:left w:val="none" w:sz="0" w:space="0" w:color="auto"/>
            <w:bottom w:val="none" w:sz="0" w:space="0" w:color="auto"/>
            <w:right w:val="none" w:sz="0" w:space="0" w:color="auto"/>
          </w:divBdr>
        </w:div>
      </w:divsChild>
    </w:div>
    <w:div w:id="1435514974">
      <w:bodyDiv w:val="1"/>
      <w:marLeft w:val="0"/>
      <w:marRight w:val="0"/>
      <w:marTop w:val="0"/>
      <w:marBottom w:val="0"/>
      <w:divBdr>
        <w:top w:val="none" w:sz="0" w:space="0" w:color="auto"/>
        <w:left w:val="none" w:sz="0" w:space="0" w:color="auto"/>
        <w:bottom w:val="none" w:sz="0" w:space="0" w:color="auto"/>
        <w:right w:val="none" w:sz="0" w:space="0" w:color="auto"/>
      </w:divBdr>
      <w:divsChild>
        <w:div w:id="1514687062">
          <w:marLeft w:val="547"/>
          <w:marRight w:val="0"/>
          <w:marTop w:val="134"/>
          <w:marBottom w:val="0"/>
          <w:divBdr>
            <w:top w:val="none" w:sz="0" w:space="0" w:color="auto"/>
            <w:left w:val="none" w:sz="0" w:space="0" w:color="auto"/>
            <w:bottom w:val="none" w:sz="0" w:space="0" w:color="auto"/>
            <w:right w:val="none" w:sz="0" w:space="0" w:color="auto"/>
          </w:divBdr>
        </w:div>
      </w:divsChild>
    </w:div>
    <w:div w:id="1444348292">
      <w:bodyDiv w:val="1"/>
      <w:marLeft w:val="0"/>
      <w:marRight w:val="0"/>
      <w:marTop w:val="0"/>
      <w:marBottom w:val="0"/>
      <w:divBdr>
        <w:top w:val="none" w:sz="0" w:space="0" w:color="auto"/>
        <w:left w:val="none" w:sz="0" w:space="0" w:color="auto"/>
        <w:bottom w:val="none" w:sz="0" w:space="0" w:color="auto"/>
        <w:right w:val="none" w:sz="0" w:space="0" w:color="auto"/>
      </w:divBdr>
    </w:div>
    <w:div w:id="1475488723">
      <w:bodyDiv w:val="1"/>
      <w:marLeft w:val="0"/>
      <w:marRight w:val="0"/>
      <w:marTop w:val="0"/>
      <w:marBottom w:val="0"/>
      <w:divBdr>
        <w:top w:val="none" w:sz="0" w:space="0" w:color="auto"/>
        <w:left w:val="none" w:sz="0" w:space="0" w:color="auto"/>
        <w:bottom w:val="none" w:sz="0" w:space="0" w:color="auto"/>
        <w:right w:val="none" w:sz="0" w:space="0" w:color="auto"/>
      </w:divBdr>
    </w:div>
    <w:div w:id="1504780987">
      <w:bodyDiv w:val="1"/>
      <w:marLeft w:val="0"/>
      <w:marRight w:val="0"/>
      <w:marTop w:val="0"/>
      <w:marBottom w:val="0"/>
      <w:divBdr>
        <w:top w:val="none" w:sz="0" w:space="0" w:color="auto"/>
        <w:left w:val="none" w:sz="0" w:space="0" w:color="auto"/>
        <w:bottom w:val="none" w:sz="0" w:space="0" w:color="auto"/>
        <w:right w:val="none" w:sz="0" w:space="0" w:color="auto"/>
      </w:divBdr>
    </w:div>
    <w:div w:id="1520895074">
      <w:bodyDiv w:val="1"/>
      <w:marLeft w:val="0"/>
      <w:marRight w:val="0"/>
      <w:marTop w:val="0"/>
      <w:marBottom w:val="0"/>
      <w:divBdr>
        <w:top w:val="none" w:sz="0" w:space="0" w:color="auto"/>
        <w:left w:val="none" w:sz="0" w:space="0" w:color="auto"/>
        <w:bottom w:val="none" w:sz="0" w:space="0" w:color="auto"/>
        <w:right w:val="none" w:sz="0" w:space="0" w:color="auto"/>
      </w:divBdr>
      <w:divsChild>
        <w:div w:id="1193299806">
          <w:marLeft w:val="360"/>
          <w:marRight w:val="0"/>
          <w:marTop w:val="0"/>
          <w:marBottom w:val="0"/>
          <w:divBdr>
            <w:top w:val="none" w:sz="0" w:space="0" w:color="auto"/>
            <w:left w:val="none" w:sz="0" w:space="0" w:color="auto"/>
            <w:bottom w:val="none" w:sz="0" w:space="0" w:color="auto"/>
            <w:right w:val="none" w:sz="0" w:space="0" w:color="auto"/>
          </w:divBdr>
        </w:div>
        <w:div w:id="1386298300">
          <w:marLeft w:val="360"/>
          <w:marRight w:val="0"/>
          <w:marTop w:val="0"/>
          <w:marBottom w:val="0"/>
          <w:divBdr>
            <w:top w:val="none" w:sz="0" w:space="0" w:color="auto"/>
            <w:left w:val="none" w:sz="0" w:space="0" w:color="auto"/>
            <w:bottom w:val="none" w:sz="0" w:space="0" w:color="auto"/>
            <w:right w:val="none" w:sz="0" w:space="0" w:color="auto"/>
          </w:divBdr>
        </w:div>
        <w:div w:id="1441101591">
          <w:marLeft w:val="360"/>
          <w:marRight w:val="0"/>
          <w:marTop w:val="0"/>
          <w:marBottom w:val="0"/>
          <w:divBdr>
            <w:top w:val="none" w:sz="0" w:space="0" w:color="auto"/>
            <w:left w:val="none" w:sz="0" w:space="0" w:color="auto"/>
            <w:bottom w:val="none" w:sz="0" w:space="0" w:color="auto"/>
            <w:right w:val="none" w:sz="0" w:space="0" w:color="auto"/>
          </w:divBdr>
        </w:div>
        <w:div w:id="1584753761">
          <w:marLeft w:val="360"/>
          <w:marRight w:val="0"/>
          <w:marTop w:val="0"/>
          <w:marBottom w:val="0"/>
          <w:divBdr>
            <w:top w:val="none" w:sz="0" w:space="0" w:color="auto"/>
            <w:left w:val="none" w:sz="0" w:space="0" w:color="auto"/>
            <w:bottom w:val="none" w:sz="0" w:space="0" w:color="auto"/>
            <w:right w:val="none" w:sz="0" w:space="0" w:color="auto"/>
          </w:divBdr>
        </w:div>
        <w:div w:id="2132047375">
          <w:marLeft w:val="360"/>
          <w:marRight w:val="0"/>
          <w:marTop w:val="0"/>
          <w:marBottom w:val="0"/>
          <w:divBdr>
            <w:top w:val="none" w:sz="0" w:space="0" w:color="auto"/>
            <w:left w:val="none" w:sz="0" w:space="0" w:color="auto"/>
            <w:bottom w:val="none" w:sz="0" w:space="0" w:color="auto"/>
            <w:right w:val="none" w:sz="0" w:space="0" w:color="auto"/>
          </w:divBdr>
        </w:div>
      </w:divsChild>
    </w:div>
    <w:div w:id="1521889745">
      <w:bodyDiv w:val="1"/>
      <w:marLeft w:val="0"/>
      <w:marRight w:val="0"/>
      <w:marTop w:val="0"/>
      <w:marBottom w:val="0"/>
      <w:divBdr>
        <w:top w:val="none" w:sz="0" w:space="0" w:color="auto"/>
        <w:left w:val="none" w:sz="0" w:space="0" w:color="auto"/>
        <w:bottom w:val="none" w:sz="0" w:space="0" w:color="auto"/>
        <w:right w:val="none" w:sz="0" w:space="0" w:color="auto"/>
      </w:divBdr>
    </w:div>
    <w:div w:id="1524130739">
      <w:bodyDiv w:val="1"/>
      <w:marLeft w:val="0"/>
      <w:marRight w:val="0"/>
      <w:marTop w:val="0"/>
      <w:marBottom w:val="0"/>
      <w:divBdr>
        <w:top w:val="none" w:sz="0" w:space="0" w:color="auto"/>
        <w:left w:val="none" w:sz="0" w:space="0" w:color="auto"/>
        <w:bottom w:val="none" w:sz="0" w:space="0" w:color="auto"/>
        <w:right w:val="none" w:sz="0" w:space="0" w:color="auto"/>
      </w:divBdr>
      <w:divsChild>
        <w:div w:id="2048750402">
          <w:marLeft w:val="547"/>
          <w:marRight w:val="0"/>
          <w:marTop w:val="134"/>
          <w:marBottom w:val="0"/>
          <w:divBdr>
            <w:top w:val="none" w:sz="0" w:space="0" w:color="auto"/>
            <w:left w:val="none" w:sz="0" w:space="0" w:color="auto"/>
            <w:bottom w:val="none" w:sz="0" w:space="0" w:color="auto"/>
            <w:right w:val="none" w:sz="0" w:space="0" w:color="auto"/>
          </w:divBdr>
        </w:div>
      </w:divsChild>
    </w:div>
    <w:div w:id="1542933762">
      <w:bodyDiv w:val="1"/>
      <w:marLeft w:val="0"/>
      <w:marRight w:val="0"/>
      <w:marTop w:val="0"/>
      <w:marBottom w:val="0"/>
      <w:divBdr>
        <w:top w:val="none" w:sz="0" w:space="0" w:color="auto"/>
        <w:left w:val="none" w:sz="0" w:space="0" w:color="auto"/>
        <w:bottom w:val="none" w:sz="0" w:space="0" w:color="auto"/>
        <w:right w:val="none" w:sz="0" w:space="0" w:color="auto"/>
      </w:divBdr>
    </w:div>
    <w:div w:id="1544101893">
      <w:bodyDiv w:val="1"/>
      <w:marLeft w:val="0"/>
      <w:marRight w:val="0"/>
      <w:marTop w:val="0"/>
      <w:marBottom w:val="0"/>
      <w:divBdr>
        <w:top w:val="none" w:sz="0" w:space="0" w:color="auto"/>
        <w:left w:val="none" w:sz="0" w:space="0" w:color="auto"/>
        <w:bottom w:val="none" w:sz="0" w:space="0" w:color="auto"/>
        <w:right w:val="none" w:sz="0" w:space="0" w:color="auto"/>
      </w:divBdr>
    </w:div>
    <w:div w:id="1545672058">
      <w:bodyDiv w:val="1"/>
      <w:marLeft w:val="0"/>
      <w:marRight w:val="0"/>
      <w:marTop w:val="0"/>
      <w:marBottom w:val="0"/>
      <w:divBdr>
        <w:top w:val="none" w:sz="0" w:space="0" w:color="auto"/>
        <w:left w:val="none" w:sz="0" w:space="0" w:color="auto"/>
        <w:bottom w:val="none" w:sz="0" w:space="0" w:color="auto"/>
        <w:right w:val="none" w:sz="0" w:space="0" w:color="auto"/>
      </w:divBdr>
    </w:div>
    <w:div w:id="1564756518">
      <w:bodyDiv w:val="1"/>
      <w:marLeft w:val="0"/>
      <w:marRight w:val="0"/>
      <w:marTop w:val="0"/>
      <w:marBottom w:val="0"/>
      <w:divBdr>
        <w:top w:val="none" w:sz="0" w:space="0" w:color="auto"/>
        <w:left w:val="none" w:sz="0" w:space="0" w:color="auto"/>
        <w:bottom w:val="none" w:sz="0" w:space="0" w:color="auto"/>
        <w:right w:val="none" w:sz="0" w:space="0" w:color="auto"/>
      </w:divBdr>
    </w:div>
    <w:div w:id="1567836409">
      <w:bodyDiv w:val="1"/>
      <w:marLeft w:val="0"/>
      <w:marRight w:val="0"/>
      <w:marTop w:val="0"/>
      <w:marBottom w:val="0"/>
      <w:divBdr>
        <w:top w:val="none" w:sz="0" w:space="0" w:color="auto"/>
        <w:left w:val="none" w:sz="0" w:space="0" w:color="auto"/>
        <w:bottom w:val="none" w:sz="0" w:space="0" w:color="auto"/>
        <w:right w:val="none" w:sz="0" w:space="0" w:color="auto"/>
      </w:divBdr>
    </w:div>
    <w:div w:id="1594508815">
      <w:bodyDiv w:val="1"/>
      <w:marLeft w:val="0"/>
      <w:marRight w:val="0"/>
      <w:marTop w:val="0"/>
      <w:marBottom w:val="0"/>
      <w:divBdr>
        <w:top w:val="none" w:sz="0" w:space="0" w:color="auto"/>
        <w:left w:val="none" w:sz="0" w:space="0" w:color="auto"/>
        <w:bottom w:val="none" w:sz="0" w:space="0" w:color="auto"/>
        <w:right w:val="none" w:sz="0" w:space="0" w:color="auto"/>
      </w:divBdr>
    </w:div>
    <w:div w:id="1626079863">
      <w:bodyDiv w:val="1"/>
      <w:marLeft w:val="0"/>
      <w:marRight w:val="0"/>
      <w:marTop w:val="0"/>
      <w:marBottom w:val="0"/>
      <w:divBdr>
        <w:top w:val="none" w:sz="0" w:space="0" w:color="auto"/>
        <w:left w:val="none" w:sz="0" w:space="0" w:color="auto"/>
        <w:bottom w:val="none" w:sz="0" w:space="0" w:color="auto"/>
        <w:right w:val="none" w:sz="0" w:space="0" w:color="auto"/>
      </w:divBdr>
    </w:div>
    <w:div w:id="1655910352">
      <w:bodyDiv w:val="1"/>
      <w:marLeft w:val="0"/>
      <w:marRight w:val="0"/>
      <w:marTop w:val="0"/>
      <w:marBottom w:val="0"/>
      <w:divBdr>
        <w:top w:val="none" w:sz="0" w:space="0" w:color="auto"/>
        <w:left w:val="none" w:sz="0" w:space="0" w:color="auto"/>
        <w:bottom w:val="none" w:sz="0" w:space="0" w:color="auto"/>
        <w:right w:val="none" w:sz="0" w:space="0" w:color="auto"/>
      </w:divBdr>
    </w:div>
    <w:div w:id="1667241160">
      <w:bodyDiv w:val="1"/>
      <w:marLeft w:val="0"/>
      <w:marRight w:val="0"/>
      <w:marTop w:val="0"/>
      <w:marBottom w:val="0"/>
      <w:divBdr>
        <w:top w:val="none" w:sz="0" w:space="0" w:color="auto"/>
        <w:left w:val="none" w:sz="0" w:space="0" w:color="auto"/>
        <w:bottom w:val="none" w:sz="0" w:space="0" w:color="auto"/>
        <w:right w:val="none" w:sz="0" w:space="0" w:color="auto"/>
      </w:divBdr>
    </w:div>
    <w:div w:id="1669673231">
      <w:bodyDiv w:val="1"/>
      <w:marLeft w:val="0"/>
      <w:marRight w:val="0"/>
      <w:marTop w:val="0"/>
      <w:marBottom w:val="0"/>
      <w:divBdr>
        <w:top w:val="none" w:sz="0" w:space="0" w:color="auto"/>
        <w:left w:val="none" w:sz="0" w:space="0" w:color="auto"/>
        <w:bottom w:val="none" w:sz="0" w:space="0" w:color="auto"/>
        <w:right w:val="none" w:sz="0" w:space="0" w:color="auto"/>
      </w:divBdr>
    </w:div>
    <w:div w:id="1700279472">
      <w:bodyDiv w:val="1"/>
      <w:marLeft w:val="0"/>
      <w:marRight w:val="0"/>
      <w:marTop w:val="0"/>
      <w:marBottom w:val="0"/>
      <w:divBdr>
        <w:top w:val="none" w:sz="0" w:space="0" w:color="auto"/>
        <w:left w:val="none" w:sz="0" w:space="0" w:color="auto"/>
        <w:bottom w:val="none" w:sz="0" w:space="0" w:color="auto"/>
        <w:right w:val="none" w:sz="0" w:space="0" w:color="auto"/>
      </w:divBdr>
    </w:div>
    <w:div w:id="1714883759">
      <w:bodyDiv w:val="1"/>
      <w:marLeft w:val="0"/>
      <w:marRight w:val="0"/>
      <w:marTop w:val="0"/>
      <w:marBottom w:val="0"/>
      <w:divBdr>
        <w:top w:val="none" w:sz="0" w:space="0" w:color="auto"/>
        <w:left w:val="none" w:sz="0" w:space="0" w:color="auto"/>
        <w:bottom w:val="none" w:sz="0" w:space="0" w:color="auto"/>
        <w:right w:val="none" w:sz="0" w:space="0" w:color="auto"/>
      </w:divBdr>
    </w:div>
    <w:div w:id="1717124117">
      <w:bodyDiv w:val="1"/>
      <w:marLeft w:val="0"/>
      <w:marRight w:val="0"/>
      <w:marTop w:val="0"/>
      <w:marBottom w:val="0"/>
      <w:divBdr>
        <w:top w:val="none" w:sz="0" w:space="0" w:color="auto"/>
        <w:left w:val="none" w:sz="0" w:space="0" w:color="auto"/>
        <w:bottom w:val="none" w:sz="0" w:space="0" w:color="auto"/>
        <w:right w:val="none" w:sz="0" w:space="0" w:color="auto"/>
      </w:divBdr>
    </w:div>
    <w:div w:id="1739090573">
      <w:bodyDiv w:val="1"/>
      <w:marLeft w:val="0"/>
      <w:marRight w:val="0"/>
      <w:marTop w:val="0"/>
      <w:marBottom w:val="0"/>
      <w:divBdr>
        <w:top w:val="none" w:sz="0" w:space="0" w:color="auto"/>
        <w:left w:val="none" w:sz="0" w:space="0" w:color="auto"/>
        <w:bottom w:val="none" w:sz="0" w:space="0" w:color="auto"/>
        <w:right w:val="none" w:sz="0" w:space="0" w:color="auto"/>
      </w:divBdr>
    </w:div>
    <w:div w:id="1768965276">
      <w:bodyDiv w:val="1"/>
      <w:marLeft w:val="0"/>
      <w:marRight w:val="0"/>
      <w:marTop w:val="0"/>
      <w:marBottom w:val="0"/>
      <w:divBdr>
        <w:top w:val="none" w:sz="0" w:space="0" w:color="auto"/>
        <w:left w:val="none" w:sz="0" w:space="0" w:color="auto"/>
        <w:bottom w:val="none" w:sz="0" w:space="0" w:color="auto"/>
        <w:right w:val="none" w:sz="0" w:space="0" w:color="auto"/>
      </w:divBdr>
    </w:div>
    <w:div w:id="1793088278">
      <w:bodyDiv w:val="1"/>
      <w:marLeft w:val="0"/>
      <w:marRight w:val="0"/>
      <w:marTop w:val="0"/>
      <w:marBottom w:val="0"/>
      <w:divBdr>
        <w:top w:val="none" w:sz="0" w:space="0" w:color="auto"/>
        <w:left w:val="none" w:sz="0" w:space="0" w:color="auto"/>
        <w:bottom w:val="none" w:sz="0" w:space="0" w:color="auto"/>
        <w:right w:val="none" w:sz="0" w:space="0" w:color="auto"/>
      </w:divBdr>
    </w:div>
    <w:div w:id="1798251917">
      <w:bodyDiv w:val="1"/>
      <w:marLeft w:val="0"/>
      <w:marRight w:val="0"/>
      <w:marTop w:val="0"/>
      <w:marBottom w:val="0"/>
      <w:divBdr>
        <w:top w:val="none" w:sz="0" w:space="0" w:color="auto"/>
        <w:left w:val="none" w:sz="0" w:space="0" w:color="auto"/>
        <w:bottom w:val="none" w:sz="0" w:space="0" w:color="auto"/>
        <w:right w:val="none" w:sz="0" w:space="0" w:color="auto"/>
      </w:divBdr>
    </w:div>
    <w:div w:id="1798839229">
      <w:bodyDiv w:val="1"/>
      <w:marLeft w:val="0"/>
      <w:marRight w:val="0"/>
      <w:marTop w:val="0"/>
      <w:marBottom w:val="0"/>
      <w:divBdr>
        <w:top w:val="none" w:sz="0" w:space="0" w:color="auto"/>
        <w:left w:val="none" w:sz="0" w:space="0" w:color="auto"/>
        <w:bottom w:val="none" w:sz="0" w:space="0" w:color="auto"/>
        <w:right w:val="none" w:sz="0" w:space="0" w:color="auto"/>
      </w:divBdr>
    </w:div>
    <w:div w:id="1802066162">
      <w:bodyDiv w:val="1"/>
      <w:marLeft w:val="0"/>
      <w:marRight w:val="0"/>
      <w:marTop w:val="0"/>
      <w:marBottom w:val="0"/>
      <w:divBdr>
        <w:top w:val="none" w:sz="0" w:space="0" w:color="auto"/>
        <w:left w:val="none" w:sz="0" w:space="0" w:color="auto"/>
        <w:bottom w:val="none" w:sz="0" w:space="0" w:color="auto"/>
        <w:right w:val="none" w:sz="0" w:space="0" w:color="auto"/>
      </w:divBdr>
    </w:div>
    <w:div w:id="1806964469">
      <w:bodyDiv w:val="1"/>
      <w:marLeft w:val="0"/>
      <w:marRight w:val="0"/>
      <w:marTop w:val="0"/>
      <w:marBottom w:val="0"/>
      <w:divBdr>
        <w:top w:val="none" w:sz="0" w:space="0" w:color="auto"/>
        <w:left w:val="none" w:sz="0" w:space="0" w:color="auto"/>
        <w:bottom w:val="none" w:sz="0" w:space="0" w:color="auto"/>
        <w:right w:val="none" w:sz="0" w:space="0" w:color="auto"/>
      </w:divBdr>
    </w:div>
    <w:div w:id="1808206817">
      <w:bodyDiv w:val="1"/>
      <w:marLeft w:val="0"/>
      <w:marRight w:val="0"/>
      <w:marTop w:val="0"/>
      <w:marBottom w:val="0"/>
      <w:divBdr>
        <w:top w:val="none" w:sz="0" w:space="0" w:color="auto"/>
        <w:left w:val="none" w:sz="0" w:space="0" w:color="auto"/>
        <w:bottom w:val="none" w:sz="0" w:space="0" w:color="auto"/>
        <w:right w:val="none" w:sz="0" w:space="0" w:color="auto"/>
      </w:divBdr>
    </w:div>
    <w:div w:id="1825537892">
      <w:bodyDiv w:val="1"/>
      <w:marLeft w:val="0"/>
      <w:marRight w:val="0"/>
      <w:marTop w:val="0"/>
      <w:marBottom w:val="0"/>
      <w:divBdr>
        <w:top w:val="none" w:sz="0" w:space="0" w:color="auto"/>
        <w:left w:val="none" w:sz="0" w:space="0" w:color="auto"/>
        <w:bottom w:val="none" w:sz="0" w:space="0" w:color="auto"/>
        <w:right w:val="none" w:sz="0" w:space="0" w:color="auto"/>
      </w:divBdr>
    </w:div>
    <w:div w:id="1825658946">
      <w:bodyDiv w:val="1"/>
      <w:marLeft w:val="0"/>
      <w:marRight w:val="0"/>
      <w:marTop w:val="0"/>
      <w:marBottom w:val="0"/>
      <w:divBdr>
        <w:top w:val="none" w:sz="0" w:space="0" w:color="auto"/>
        <w:left w:val="none" w:sz="0" w:space="0" w:color="auto"/>
        <w:bottom w:val="none" w:sz="0" w:space="0" w:color="auto"/>
        <w:right w:val="none" w:sz="0" w:space="0" w:color="auto"/>
      </w:divBdr>
    </w:div>
    <w:div w:id="1832283589">
      <w:bodyDiv w:val="1"/>
      <w:marLeft w:val="0"/>
      <w:marRight w:val="0"/>
      <w:marTop w:val="0"/>
      <w:marBottom w:val="0"/>
      <w:divBdr>
        <w:top w:val="none" w:sz="0" w:space="0" w:color="auto"/>
        <w:left w:val="none" w:sz="0" w:space="0" w:color="auto"/>
        <w:bottom w:val="none" w:sz="0" w:space="0" w:color="auto"/>
        <w:right w:val="none" w:sz="0" w:space="0" w:color="auto"/>
      </w:divBdr>
    </w:div>
    <w:div w:id="1838375861">
      <w:bodyDiv w:val="1"/>
      <w:marLeft w:val="0"/>
      <w:marRight w:val="0"/>
      <w:marTop w:val="0"/>
      <w:marBottom w:val="0"/>
      <w:divBdr>
        <w:top w:val="none" w:sz="0" w:space="0" w:color="auto"/>
        <w:left w:val="none" w:sz="0" w:space="0" w:color="auto"/>
        <w:bottom w:val="none" w:sz="0" w:space="0" w:color="auto"/>
        <w:right w:val="none" w:sz="0" w:space="0" w:color="auto"/>
      </w:divBdr>
    </w:div>
    <w:div w:id="1845432352">
      <w:bodyDiv w:val="1"/>
      <w:marLeft w:val="0"/>
      <w:marRight w:val="0"/>
      <w:marTop w:val="0"/>
      <w:marBottom w:val="0"/>
      <w:divBdr>
        <w:top w:val="none" w:sz="0" w:space="0" w:color="auto"/>
        <w:left w:val="none" w:sz="0" w:space="0" w:color="auto"/>
        <w:bottom w:val="none" w:sz="0" w:space="0" w:color="auto"/>
        <w:right w:val="none" w:sz="0" w:space="0" w:color="auto"/>
      </w:divBdr>
    </w:div>
    <w:div w:id="1848522765">
      <w:bodyDiv w:val="1"/>
      <w:marLeft w:val="0"/>
      <w:marRight w:val="0"/>
      <w:marTop w:val="0"/>
      <w:marBottom w:val="0"/>
      <w:divBdr>
        <w:top w:val="none" w:sz="0" w:space="0" w:color="auto"/>
        <w:left w:val="none" w:sz="0" w:space="0" w:color="auto"/>
        <w:bottom w:val="none" w:sz="0" w:space="0" w:color="auto"/>
        <w:right w:val="none" w:sz="0" w:space="0" w:color="auto"/>
      </w:divBdr>
    </w:div>
    <w:div w:id="1850294624">
      <w:bodyDiv w:val="1"/>
      <w:marLeft w:val="0"/>
      <w:marRight w:val="0"/>
      <w:marTop w:val="0"/>
      <w:marBottom w:val="0"/>
      <w:divBdr>
        <w:top w:val="none" w:sz="0" w:space="0" w:color="auto"/>
        <w:left w:val="none" w:sz="0" w:space="0" w:color="auto"/>
        <w:bottom w:val="none" w:sz="0" w:space="0" w:color="auto"/>
        <w:right w:val="none" w:sz="0" w:space="0" w:color="auto"/>
      </w:divBdr>
    </w:div>
    <w:div w:id="1860464497">
      <w:bodyDiv w:val="1"/>
      <w:marLeft w:val="0"/>
      <w:marRight w:val="0"/>
      <w:marTop w:val="0"/>
      <w:marBottom w:val="0"/>
      <w:divBdr>
        <w:top w:val="none" w:sz="0" w:space="0" w:color="auto"/>
        <w:left w:val="none" w:sz="0" w:space="0" w:color="auto"/>
        <w:bottom w:val="none" w:sz="0" w:space="0" w:color="auto"/>
        <w:right w:val="none" w:sz="0" w:space="0" w:color="auto"/>
      </w:divBdr>
    </w:div>
    <w:div w:id="1870683713">
      <w:bodyDiv w:val="1"/>
      <w:marLeft w:val="0"/>
      <w:marRight w:val="0"/>
      <w:marTop w:val="0"/>
      <w:marBottom w:val="0"/>
      <w:divBdr>
        <w:top w:val="none" w:sz="0" w:space="0" w:color="auto"/>
        <w:left w:val="none" w:sz="0" w:space="0" w:color="auto"/>
        <w:bottom w:val="none" w:sz="0" w:space="0" w:color="auto"/>
        <w:right w:val="none" w:sz="0" w:space="0" w:color="auto"/>
      </w:divBdr>
    </w:div>
    <w:div w:id="1871720229">
      <w:bodyDiv w:val="1"/>
      <w:marLeft w:val="0"/>
      <w:marRight w:val="0"/>
      <w:marTop w:val="0"/>
      <w:marBottom w:val="0"/>
      <w:divBdr>
        <w:top w:val="none" w:sz="0" w:space="0" w:color="auto"/>
        <w:left w:val="none" w:sz="0" w:space="0" w:color="auto"/>
        <w:bottom w:val="none" w:sz="0" w:space="0" w:color="auto"/>
        <w:right w:val="none" w:sz="0" w:space="0" w:color="auto"/>
      </w:divBdr>
    </w:div>
    <w:div w:id="1900020334">
      <w:bodyDiv w:val="1"/>
      <w:marLeft w:val="0"/>
      <w:marRight w:val="0"/>
      <w:marTop w:val="0"/>
      <w:marBottom w:val="0"/>
      <w:divBdr>
        <w:top w:val="none" w:sz="0" w:space="0" w:color="auto"/>
        <w:left w:val="none" w:sz="0" w:space="0" w:color="auto"/>
        <w:bottom w:val="none" w:sz="0" w:space="0" w:color="auto"/>
        <w:right w:val="none" w:sz="0" w:space="0" w:color="auto"/>
      </w:divBdr>
    </w:div>
    <w:div w:id="1930844028">
      <w:bodyDiv w:val="1"/>
      <w:marLeft w:val="0"/>
      <w:marRight w:val="0"/>
      <w:marTop w:val="0"/>
      <w:marBottom w:val="0"/>
      <w:divBdr>
        <w:top w:val="none" w:sz="0" w:space="0" w:color="auto"/>
        <w:left w:val="none" w:sz="0" w:space="0" w:color="auto"/>
        <w:bottom w:val="none" w:sz="0" w:space="0" w:color="auto"/>
        <w:right w:val="none" w:sz="0" w:space="0" w:color="auto"/>
      </w:divBdr>
    </w:div>
    <w:div w:id="1931935896">
      <w:bodyDiv w:val="1"/>
      <w:marLeft w:val="0"/>
      <w:marRight w:val="0"/>
      <w:marTop w:val="0"/>
      <w:marBottom w:val="0"/>
      <w:divBdr>
        <w:top w:val="none" w:sz="0" w:space="0" w:color="auto"/>
        <w:left w:val="none" w:sz="0" w:space="0" w:color="auto"/>
        <w:bottom w:val="none" w:sz="0" w:space="0" w:color="auto"/>
        <w:right w:val="none" w:sz="0" w:space="0" w:color="auto"/>
      </w:divBdr>
    </w:div>
    <w:div w:id="1945721409">
      <w:bodyDiv w:val="1"/>
      <w:marLeft w:val="0"/>
      <w:marRight w:val="0"/>
      <w:marTop w:val="0"/>
      <w:marBottom w:val="0"/>
      <w:divBdr>
        <w:top w:val="none" w:sz="0" w:space="0" w:color="auto"/>
        <w:left w:val="none" w:sz="0" w:space="0" w:color="auto"/>
        <w:bottom w:val="none" w:sz="0" w:space="0" w:color="auto"/>
        <w:right w:val="none" w:sz="0" w:space="0" w:color="auto"/>
      </w:divBdr>
    </w:div>
    <w:div w:id="1959021576">
      <w:bodyDiv w:val="1"/>
      <w:marLeft w:val="0"/>
      <w:marRight w:val="0"/>
      <w:marTop w:val="0"/>
      <w:marBottom w:val="0"/>
      <w:divBdr>
        <w:top w:val="none" w:sz="0" w:space="0" w:color="auto"/>
        <w:left w:val="none" w:sz="0" w:space="0" w:color="auto"/>
        <w:bottom w:val="none" w:sz="0" w:space="0" w:color="auto"/>
        <w:right w:val="none" w:sz="0" w:space="0" w:color="auto"/>
      </w:divBdr>
    </w:div>
    <w:div w:id="1960992057">
      <w:bodyDiv w:val="1"/>
      <w:marLeft w:val="0"/>
      <w:marRight w:val="0"/>
      <w:marTop w:val="0"/>
      <w:marBottom w:val="0"/>
      <w:divBdr>
        <w:top w:val="none" w:sz="0" w:space="0" w:color="auto"/>
        <w:left w:val="none" w:sz="0" w:space="0" w:color="auto"/>
        <w:bottom w:val="none" w:sz="0" w:space="0" w:color="auto"/>
        <w:right w:val="none" w:sz="0" w:space="0" w:color="auto"/>
      </w:divBdr>
    </w:div>
    <w:div w:id="1970434978">
      <w:bodyDiv w:val="1"/>
      <w:marLeft w:val="0"/>
      <w:marRight w:val="0"/>
      <w:marTop w:val="0"/>
      <w:marBottom w:val="0"/>
      <w:divBdr>
        <w:top w:val="none" w:sz="0" w:space="0" w:color="auto"/>
        <w:left w:val="none" w:sz="0" w:space="0" w:color="auto"/>
        <w:bottom w:val="none" w:sz="0" w:space="0" w:color="auto"/>
        <w:right w:val="none" w:sz="0" w:space="0" w:color="auto"/>
      </w:divBdr>
    </w:div>
    <w:div w:id="1982811316">
      <w:bodyDiv w:val="1"/>
      <w:marLeft w:val="0"/>
      <w:marRight w:val="0"/>
      <w:marTop w:val="0"/>
      <w:marBottom w:val="0"/>
      <w:divBdr>
        <w:top w:val="none" w:sz="0" w:space="0" w:color="auto"/>
        <w:left w:val="none" w:sz="0" w:space="0" w:color="auto"/>
        <w:bottom w:val="none" w:sz="0" w:space="0" w:color="auto"/>
        <w:right w:val="none" w:sz="0" w:space="0" w:color="auto"/>
      </w:divBdr>
      <w:divsChild>
        <w:div w:id="32855406">
          <w:marLeft w:val="547"/>
          <w:marRight w:val="0"/>
          <w:marTop w:val="134"/>
          <w:marBottom w:val="0"/>
          <w:divBdr>
            <w:top w:val="none" w:sz="0" w:space="0" w:color="auto"/>
            <w:left w:val="none" w:sz="0" w:space="0" w:color="auto"/>
            <w:bottom w:val="none" w:sz="0" w:space="0" w:color="auto"/>
            <w:right w:val="none" w:sz="0" w:space="0" w:color="auto"/>
          </w:divBdr>
        </w:div>
      </w:divsChild>
    </w:div>
    <w:div w:id="1999989859">
      <w:bodyDiv w:val="1"/>
      <w:marLeft w:val="0"/>
      <w:marRight w:val="0"/>
      <w:marTop w:val="0"/>
      <w:marBottom w:val="0"/>
      <w:divBdr>
        <w:top w:val="none" w:sz="0" w:space="0" w:color="auto"/>
        <w:left w:val="none" w:sz="0" w:space="0" w:color="auto"/>
        <w:bottom w:val="none" w:sz="0" w:space="0" w:color="auto"/>
        <w:right w:val="none" w:sz="0" w:space="0" w:color="auto"/>
      </w:divBdr>
    </w:div>
    <w:div w:id="2000648964">
      <w:bodyDiv w:val="1"/>
      <w:marLeft w:val="0"/>
      <w:marRight w:val="0"/>
      <w:marTop w:val="0"/>
      <w:marBottom w:val="0"/>
      <w:divBdr>
        <w:top w:val="none" w:sz="0" w:space="0" w:color="auto"/>
        <w:left w:val="none" w:sz="0" w:space="0" w:color="auto"/>
        <w:bottom w:val="none" w:sz="0" w:space="0" w:color="auto"/>
        <w:right w:val="none" w:sz="0" w:space="0" w:color="auto"/>
      </w:divBdr>
    </w:div>
    <w:div w:id="2005694236">
      <w:bodyDiv w:val="1"/>
      <w:marLeft w:val="0"/>
      <w:marRight w:val="0"/>
      <w:marTop w:val="0"/>
      <w:marBottom w:val="0"/>
      <w:divBdr>
        <w:top w:val="none" w:sz="0" w:space="0" w:color="auto"/>
        <w:left w:val="none" w:sz="0" w:space="0" w:color="auto"/>
        <w:bottom w:val="none" w:sz="0" w:space="0" w:color="auto"/>
        <w:right w:val="none" w:sz="0" w:space="0" w:color="auto"/>
      </w:divBdr>
    </w:div>
    <w:div w:id="2038192103">
      <w:bodyDiv w:val="1"/>
      <w:marLeft w:val="0"/>
      <w:marRight w:val="0"/>
      <w:marTop w:val="0"/>
      <w:marBottom w:val="0"/>
      <w:divBdr>
        <w:top w:val="none" w:sz="0" w:space="0" w:color="auto"/>
        <w:left w:val="none" w:sz="0" w:space="0" w:color="auto"/>
        <w:bottom w:val="none" w:sz="0" w:space="0" w:color="auto"/>
        <w:right w:val="none" w:sz="0" w:space="0" w:color="auto"/>
      </w:divBdr>
    </w:div>
    <w:div w:id="2041977882">
      <w:bodyDiv w:val="1"/>
      <w:marLeft w:val="0"/>
      <w:marRight w:val="0"/>
      <w:marTop w:val="0"/>
      <w:marBottom w:val="0"/>
      <w:divBdr>
        <w:top w:val="none" w:sz="0" w:space="0" w:color="auto"/>
        <w:left w:val="none" w:sz="0" w:space="0" w:color="auto"/>
        <w:bottom w:val="none" w:sz="0" w:space="0" w:color="auto"/>
        <w:right w:val="none" w:sz="0" w:space="0" w:color="auto"/>
      </w:divBdr>
    </w:div>
    <w:div w:id="2044136946">
      <w:bodyDiv w:val="1"/>
      <w:marLeft w:val="0"/>
      <w:marRight w:val="0"/>
      <w:marTop w:val="0"/>
      <w:marBottom w:val="0"/>
      <w:divBdr>
        <w:top w:val="none" w:sz="0" w:space="0" w:color="auto"/>
        <w:left w:val="none" w:sz="0" w:space="0" w:color="auto"/>
        <w:bottom w:val="none" w:sz="0" w:space="0" w:color="auto"/>
        <w:right w:val="none" w:sz="0" w:space="0" w:color="auto"/>
      </w:divBdr>
    </w:div>
    <w:div w:id="2046058916">
      <w:bodyDiv w:val="1"/>
      <w:marLeft w:val="0"/>
      <w:marRight w:val="0"/>
      <w:marTop w:val="0"/>
      <w:marBottom w:val="0"/>
      <w:divBdr>
        <w:top w:val="none" w:sz="0" w:space="0" w:color="auto"/>
        <w:left w:val="none" w:sz="0" w:space="0" w:color="auto"/>
        <w:bottom w:val="none" w:sz="0" w:space="0" w:color="auto"/>
        <w:right w:val="none" w:sz="0" w:space="0" w:color="auto"/>
      </w:divBdr>
    </w:div>
    <w:div w:id="2049135928">
      <w:bodyDiv w:val="1"/>
      <w:marLeft w:val="0"/>
      <w:marRight w:val="0"/>
      <w:marTop w:val="0"/>
      <w:marBottom w:val="0"/>
      <w:divBdr>
        <w:top w:val="none" w:sz="0" w:space="0" w:color="auto"/>
        <w:left w:val="none" w:sz="0" w:space="0" w:color="auto"/>
        <w:bottom w:val="none" w:sz="0" w:space="0" w:color="auto"/>
        <w:right w:val="none" w:sz="0" w:space="0" w:color="auto"/>
      </w:divBdr>
      <w:divsChild>
        <w:div w:id="1211501161">
          <w:marLeft w:val="547"/>
          <w:marRight w:val="0"/>
          <w:marTop w:val="134"/>
          <w:marBottom w:val="0"/>
          <w:divBdr>
            <w:top w:val="none" w:sz="0" w:space="0" w:color="auto"/>
            <w:left w:val="none" w:sz="0" w:space="0" w:color="auto"/>
            <w:bottom w:val="none" w:sz="0" w:space="0" w:color="auto"/>
            <w:right w:val="none" w:sz="0" w:space="0" w:color="auto"/>
          </w:divBdr>
        </w:div>
      </w:divsChild>
    </w:div>
    <w:div w:id="2072270200">
      <w:bodyDiv w:val="1"/>
      <w:marLeft w:val="0"/>
      <w:marRight w:val="0"/>
      <w:marTop w:val="0"/>
      <w:marBottom w:val="0"/>
      <w:divBdr>
        <w:top w:val="none" w:sz="0" w:space="0" w:color="auto"/>
        <w:left w:val="none" w:sz="0" w:space="0" w:color="auto"/>
        <w:bottom w:val="none" w:sz="0" w:space="0" w:color="auto"/>
        <w:right w:val="none" w:sz="0" w:space="0" w:color="auto"/>
      </w:divBdr>
    </w:div>
    <w:div w:id="2117557528">
      <w:bodyDiv w:val="1"/>
      <w:marLeft w:val="0"/>
      <w:marRight w:val="0"/>
      <w:marTop w:val="0"/>
      <w:marBottom w:val="0"/>
      <w:divBdr>
        <w:top w:val="none" w:sz="0" w:space="0" w:color="auto"/>
        <w:left w:val="none" w:sz="0" w:space="0" w:color="auto"/>
        <w:bottom w:val="none" w:sz="0" w:space="0" w:color="auto"/>
        <w:right w:val="none" w:sz="0" w:space="0" w:color="auto"/>
      </w:divBdr>
    </w:div>
    <w:div w:id="2118669893">
      <w:bodyDiv w:val="1"/>
      <w:marLeft w:val="0"/>
      <w:marRight w:val="0"/>
      <w:marTop w:val="0"/>
      <w:marBottom w:val="0"/>
      <w:divBdr>
        <w:top w:val="none" w:sz="0" w:space="0" w:color="auto"/>
        <w:left w:val="none" w:sz="0" w:space="0" w:color="auto"/>
        <w:bottom w:val="none" w:sz="0" w:space="0" w:color="auto"/>
        <w:right w:val="none" w:sz="0" w:space="0" w:color="auto"/>
      </w:divBdr>
    </w:div>
    <w:div w:id="2119640707">
      <w:bodyDiv w:val="1"/>
      <w:marLeft w:val="0"/>
      <w:marRight w:val="0"/>
      <w:marTop w:val="0"/>
      <w:marBottom w:val="0"/>
      <w:divBdr>
        <w:top w:val="none" w:sz="0" w:space="0" w:color="auto"/>
        <w:left w:val="none" w:sz="0" w:space="0" w:color="auto"/>
        <w:bottom w:val="none" w:sz="0" w:space="0" w:color="auto"/>
        <w:right w:val="none" w:sz="0" w:space="0" w:color="auto"/>
      </w:divBdr>
    </w:div>
    <w:div w:id="2119718918">
      <w:bodyDiv w:val="1"/>
      <w:marLeft w:val="0"/>
      <w:marRight w:val="0"/>
      <w:marTop w:val="0"/>
      <w:marBottom w:val="0"/>
      <w:divBdr>
        <w:top w:val="none" w:sz="0" w:space="0" w:color="auto"/>
        <w:left w:val="none" w:sz="0" w:space="0" w:color="auto"/>
        <w:bottom w:val="none" w:sz="0" w:space="0" w:color="auto"/>
        <w:right w:val="none" w:sz="0" w:space="0" w:color="auto"/>
      </w:divBdr>
    </w:div>
    <w:div w:id="2131393443">
      <w:bodyDiv w:val="1"/>
      <w:marLeft w:val="0"/>
      <w:marRight w:val="0"/>
      <w:marTop w:val="0"/>
      <w:marBottom w:val="0"/>
      <w:divBdr>
        <w:top w:val="none" w:sz="0" w:space="0" w:color="auto"/>
        <w:left w:val="none" w:sz="0" w:space="0" w:color="auto"/>
        <w:bottom w:val="none" w:sz="0" w:space="0" w:color="auto"/>
        <w:right w:val="none" w:sz="0" w:space="0" w:color="auto"/>
      </w:divBdr>
    </w:div>
    <w:div w:id="2135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26CE-0D8D-4B3E-98A0-A6B5FAB6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7369</Words>
  <Characters>42008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2</cp:revision>
  <cp:lastPrinted>2012-05-01T13:33:00Z</cp:lastPrinted>
  <dcterms:created xsi:type="dcterms:W3CDTF">2012-05-07T16:15:00Z</dcterms:created>
  <dcterms:modified xsi:type="dcterms:W3CDTF">2012-05-07T16:15:00Z</dcterms:modified>
</cp:coreProperties>
</file>