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40" w:type="dxa"/>
        <w:tblInd w:w="-72" w:type="dxa"/>
        <w:tblLook w:val="04A0"/>
      </w:tblPr>
      <w:tblGrid>
        <w:gridCol w:w="2610"/>
        <w:gridCol w:w="3060"/>
        <w:gridCol w:w="4770"/>
      </w:tblGrid>
      <w:tr w:rsidR="003966AC" w:rsidRPr="003966AC" w:rsidTr="004E0FF3">
        <w:trPr>
          <w:tblHeader/>
        </w:trPr>
        <w:tc>
          <w:tcPr>
            <w:tcW w:w="10440" w:type="dxa"/>
            <w:gridSpan w:val="3"/>
            <w:tcBorders>
              <w:bottom w:val="single" w:sz="4" w:space="0" w:color="auto"/>
            </w:tcBorders>
            <w:shd w:val="clear" w:color="auto" w:fill="E5DFEC" w:themeFill="accent4" w:themeFillTint="33"/>
          </w:tcPr>
          <w:p w:rsidR="003966AC" w:rsidRDefault="003966AC" w:rsidP="00455346">
            <w:pPr>
              <w:jc w:val="center"/>
              <w:rPr>
                <w:b/>
              </w:rPr>
            </w:pPr>
            <w:r>
              <w:rPr>
                <w:b/>
              </w:rPr>
              <w:t xml:space="preserve">ARRA </w:t>
            </w:r>
            <w:r w:rsidR="00AF2BA5">
              <w:rPr>
                <w:b/>
              </w:rPr>
              <w:t>Final Report</w:t>
            </w:r>
            <w:r>
              <w:rPr>
                <w:b/>
              </w:rPr>
              <w:t xml:space="preserve"> Guidance</w:t>
            </w:r>
          </w:p>
          <w:p w:rsidR="006A2443" w:rsidRDefault="006A2443" w:rsidP="00455346">
            <w:pPr>
              <w:jc w:val="center"/>
              <w:rPr>
                <w:b/>
              </w:rPr>
            </w:pPr>
          </w:p>
        </w:tc>
      </w:tr>
      <w:tr w:rsidR="006A2443" w:rsidRPr="003966AC" w:rsidTr="004E0FF3">
        <w:tc>
          <w:tcPr>
            <w:tcW w:w="10440" w:type="dxa"/>
            <w:gridSpan w:val="3"/>
            <w:tcBorders>
              <w:bottom w:val="single" w:sz="4" w:space="0" w:color="auto"/>
            </w:tcBorders>
            <w:shd w:val="clear" w:color="auto" w:fill="FFFF00"/>
          </w:tcPr>
          <w:p w:rsidR="006A2443" w:rsidRDefault="006A2443" w:rsidP="006A2443">
            <w:pPr>
              <w:jc w:val="center"/>
              <w:rPr>
                <w:b/>
              </w:rPr>
            </w:pPr>
            <w:r>
              <w:rPr>
                <w:b/>
              </w:rPr>
              <w:t>Timing of Final ARRA Report Submissions</w:t>
            </w:r>
          </w:p>
          <w:p w:rsidR="006A2443" w:rsidRPr="006A2443" w:rsidRDefault="006A2443" w:rsidP="002476F8">
            <w:r>
              <w:t xml:space="preserve">ARRA final reports are due two reporting periods after the grant project end as </w:t>
            </w:r>
            <w:r w:rsidR="002476F8">
              <w:t>depicted below.  This timing will allow grantees to account for draw down activity that occurs after the project end period, account for allowable costs during the closeout period, and closeout sub-awards.</w:t>
            </w:r>
          </w:p>
        </w:tc>
      </w:tr>
      <w:tr w:rsidR="006A2443" w:rsidRPr="003966AC" w:rsidTr="004E0FF3">
        <w:tc>
          <w:tcPr>
            <w:tcW w:w="5670" w:type="dxa"/>
            <w:gridSpan w:val="2"/>
            <w:shd w:val="clear" w:color="auto" w:fill="FFFFFF" w:themeFill="background1"/>
          </w:tcPr>
          <w:p w:rsidR="006A2443" w:rsidRDefault="006A2443" w:rsidP="003966AC">
            <w:pPr>
              <w:jc w:val="center"/>
              <w:rPr>
                <w:b/>
              </w:rPr>
            </w:pPr>
            <w:r>
              <w:rPr>
                <w:b/>
              </w:rPr>
              <w:t>Grant Project Period End Date</w:t>
            </w:r>
          </w:p>
        </w:tc>
        <w:tc>
          <w:tcPr>
            <w:tcW w:w="4770" w:type="dxa"/>
            <w:shd w:val="clear" w:color="auto" w:fill="FFFFFF" w:themeFill="background1"/>
          </w:tcPr>
          <w:p w:rsidR="006A2443" w:rsidRDefault="006A2443" w:rsidP="003966AC">
            <w:pPr>
              <w:jc w:val="center"/>
              <w:rPr>
                <w:b/>
              </w:rPr>
            </w:pPr>
            <w:r>
              <w:rPr>
                <w:b/>
              </w:rPr>
              <w:t>ARRA Final Report Submission Due Date</w:t>
            </w:r>
          </w:p>
        </w:tc>
      </w:tr>
      <w:tr w:rsidR="006A2443" w:rsidRPr="003966AC" w:rsidTr="004E0FF3">
        <w:tc>
          <w:tcPr>
            <w:tcW w:w="5670" w:type="dxa"/>
            <w:gridSpan w:val="2"/>
            <w:shd w:val="clear" w:color="auto" w:fill="FFFFFF" w:themeFill="background1"/>
          </w:tcPr>
          <w:p w:rsidR="006A2443" w:rsidRDefault="006A2443" w:rsidP="006A2443">
            <w:r>
              <w:t>January 1 through March 31</w:t>
            </w:r>
          </w:p>
          <w:p w:rsidR="00BF53F5" w:rsidRPr="006A2443" w:rsidRDefault="00BF53F5" w:rsidP="006A2443"/>
        </w:tc>
        <w:tc>
          <w:tcPr>
            <w:tcW w:w="4770" w:type="dxa"/>
            <w:shd w:val="clear" w:color="auto" w:fill="FFFFFF" w:themeFill="background1"/>
          </w:tcPr>
          <w:p w:rsidR="006A2443" w:rsidRPr="006A2443" w:rsidRDefault="006A2443" w:rsidP="006A2443">
            <w:r>
              <w:t>Following July quarterly ARRA reporting period</w:t>
            </w:r>
          </w:p>
        </w:tc>
      </w:tr>
      <w:tr w:rsidR="006A2443" w:rsidRPr="003966AC" w:rsidTr="004E0FF3">
        <w:tc>
          <w:tcPr>
            <w:tcW w:w="5670" w:type="dxa"/>
            <w:gridSpan w:val="2"/>
            <w:shd w:val="clear" w:color="auto" w:fill="FFFFFF" w:themeFill="background1"/>
          </w:tcPr>
          <w:p w:rsidR="006A2443" w:rsidRDefault="006A2443" w:rsidP="006A2443">
            <w:r>
              <w:t>April 1 through June 30</w:t>
            </w:r>
          </w:p>
          <w:p w:rsidR="00BF53F5" w:rsidRPr="006A2443" w:rsidRDefault="00BF53F5" w:rsidP="006A2443"/>
        </w:tc>
        <w:tc>
          <w:tcPr>
            <w:tcW w:w="4770" w:type="dxa"/>
            <w:shd w:val="clear" w:color="auto" w:fill="FFFFFF" w:themeFill="background1"/>
          </w:tcPr>
          <w:p w:rsidR="006A2443" w:rsidRPr="006A2443" w:rsidRDefault="006A2443" w:rsidP="006A2443">
            <w:r>
              <w:t>Following October quarterly ARRA reporting period</w:t>
            </w:r>
          </w:p>
        </w:tc>
      </w:tr>
      <w:tr w:rsidR="006A2443" w:rsidRPr="003966AC" w:rsidTr="004E0FF3">
        <w:tc>
          <w:tcPr>
            <w:tcW w:w="5670" w:type="dxa"/>
            <w:gridSpan w:val="2"/>
            <w:shd w:val="clear" w:color="auto" w:fill="FFFFFF" w:themeFill="background1"/>
          </w:tcPr>
          <w:p w:rsidR="006A2443" w:rsidRDefault="006A2443" w:rsidP="006A2443">
            <w:r>
              <w:t>July 1 through September 30</w:t>
            </w:r>
          </w:p>
          <w:p w:rsidR="00BF53F5" w:rsidRPr="006A2443" w:rsidRDefault="00BF53F5" w:rsidP="006A2443"/>
        </w:tc>
        <w:tc>
          <w:tcPr>
            <w:tcW w:w="4770" w:type="dxa"/>
            <w:shd w:val="clear" w:color="auto" w:fill="FFFFFF" w:themeFill="background1"/>
          </w:tcPr>
          <w:p w:rsidR="006A2443" w:rsidRPr="006A2443" w:rsidRDefault="006A2443" w:rsidP="006A2443">
            <w:r>
              <w:t>Following January quarterly ARRA reporting period</w:t>
            </w:r>
          </w:p>
        </w:tc>
      </w:tr>
      <w:tr w:rsidR="006A2443" w:rsidRPr="003966AC" w:rsidTr="004E0FF3">
        <w:tc>
          <w:tcPr>
            <w:tcW w:w="5670" w:type="dxa"/>
            <w:gridSpan w:val="2"/>
            <w:tcBorders>
              <w:bottom w:val="single" w:sz="4" w:space="0" w:color="auto"/>
            </w:tcBorders>
            <w:shd w:val="clear" w:color="auto" w:fill="FFFFFF" w:themeFill="background1"/>
          </w:tcPr>
          <w:p w:rsidR="006A2443" w:rsidRDefault="006A2443" w:rsidP="006A2443">
            <w:r>
              <w:t>October 1 through December 31</w:t>
            </w:r>
          </w:p>
          <w:p w:rsidR="00BF53F5" w:rsidRPr="006A2443" w:rsidRDefault="00BF53F5" w:rsidP="006A2443"/>
        </w:tc>
        <w:tc>
          <w:tcPr>
            <w:tcW w:w="4770" w:type="dxa"/>
            <w:tcBorders>
              <w:bottom w:val="single" w:sz="4" w:space="0" w:color="auto"/>
            </w:tcBorders>
            <w:shd w:val="clear" w:color="auto" w:fill="FFFFFF" w:themeFill="background1"/>
          </w:tcPr>
          <w:p w:rsidR="006A2443" w:rsidRPr="006A2443" w:rsidRDefault="006A2443" w:rsidP="006A2443">
            <w:r>
              <w:t>Following April quarterly ARRA reporting period</w:t>
            </w:r>
          </w:p>
        </w:tc>
      </w:tr>
      <w:tr w:rsidR="006A2443" w:rsidRPr="003966AC" w:rsidTr="004E0FF3">
        <w:tc>
          <w:tcPr>
            <w:tcW w:w="10440" w:type="dxa"/>
            <w:gridSpan w:val="3"/>
            <w:tcBorders>
              <w:bottom w:val="single" w:sz="4" w:space="0" w:color="auto"/>
            </w:tcBorders>
            <w:shd w:val="clear" w:color="auto" w:fill="FFFF00"/>
          </w:tcPr>
          <w:p w:rsidR="006A2443" w:rsidRDefault="006A2443" w:rsidP="003966AC">
            <w:pPr>
              <w:jc w:val="center"/>
              <w:rPr>
                <w:b/>
              </w:rPr>
            </w:pPr>
            <w:r>
              <w:rPr>
                <w:b/>
              </w:rPr>
              <w:t>Data Entry Guidance</w:t>
            </w:r>
          </w:p>
          <w:p w:rsidR="006A2443" w:rsidRDefault="006A2443" w:rsidP="003966AC">
            <w:pPr>
              <w:jc w:val="center"/>
              <w:rPr>
                <w:b/>
              </w:rPr>
            </w:pPr>
          </w:p>
        </w:tc>
      </w:tr>
      <w:tr w:rsidR="003966AC" w:rsidRPr="003966AC" w:rsidTr="004E0FF3">
        <w:tc>
          <w:tcPr>
            <w:tcW w:w="2610" w:type="dxa"/>
            <w:shd w:val="clear" w:color="auto" w:fill="FFFFFF" w:themeFill="background1"/>
          </w:tcPr>
          <w:p w:rsidR="003966AC" w:rsidRDefault="003966AC" w:rsidP="003966AC">
            <w:pPr>
              <w:jc w:val="center"/>
              <w:rPr>
                <w:b/>
              </w:rPr>
            </w:pPr>
            <w:r>
              <w:rPr>
                <w:b/>
              </w:rPr>
              <w:t>Data Field</w:t>
            </w:r>
          </w:p>
          <w:p w:rsidR="00060E1C" w:rsidRPr="003966AC" w:rsidRDefault="00060E1C" w:rsidP="003966AC">
            <w:pPr>
              <w:jc w:val="center"/>
              <w:rPr>
                <w:b/>
              </w:rPr>
            </w:pPr>
          </w:p>
        </w:tc>
        <w:tc>
          <w:tcPr>
            <w:tcW w:w="3060" w:type="dxa"/>
            <w:shd w:val="clear" w:color="auto" w:fill="FFFFFF" w:themeFill="background1"/>
          </w:tcPr>
          <w:p w:rsidR="003966AC" w:rsidRPr="003966AC" w:rsidRDefault="003966AC" w:rsidP="003966AC">
            <w:pPr>
              <w:jc w:val="center"/>
              <w:rPr>
                <w:b/>
              </w:rPr>
            </w:pPr>
            <w:r>
              <w:rPr>
                <w:b/>
              </w:rPr>
              <w:t>Guidance</w:t>
            </w:r>
          </w:p>
        </w:tc>
        <w:tc>
          <w:tcPr>
            <w:tcW w:w="4770" w:type="dxa"/>
            <w:shd w:val="clear" w:color="auto" w:fill="FFFFFF" w:themeFill="background1"/>
          </w:tcPr>
          <w:p w:rsidR="003966AC" w:rsidRPr="003966AC" w:rsidRDefault="003966AC" w:rsidP="003966AC">
            <w:pPr>
              <w:jc w:val="center"/>
              <w:rPr>
                <w:b/>
              </w:rPr>
            </w:pPr>
            <w:r>
              <w:rPr>
                <w:b/>
              </w:rPr>
              <w:t>Notes/Comments</w:t>
            </w:r>
          </w:p>
        </w:tc>
      </w:tr>
      <w:tr w:rsidR="003966AC" w:rsidTr="004E0FF3">
        <w:tc>
          <w:tcPr>
            <w:tcW w:w="2610" w:type="dxa"/>
          </w:tcPr>
          <w:p w:rsidR="003966AC" w:rsidRDefault="00022673">
            <w:r>
              <w:t>Final Report</w:t>
            </w:r>
          </w:p>
          <w:p w:rsidR="00EF5E96" w:rsidRDefault="00EF5E96"/>
        </w:tc>
        <w:tc>
          <w:tcPr>
            <w:tcW w:w="3060" w:type="dxa"/>
          </w:tcPr>
          <w:p w:rsidR="007E147F" w:rsidRDefault="00022673" w:rsidP="00455346">
            <w:r>
              <w:t>Select “Yes” from the drop-down menu</w:t>
            </w:r>
          </w:p>
          <w:p w:rsidR="00455346" w:rsidRDefault="00455346" w:rsidP="00455346"/>
        </w:tc>
        <w:tc>
          <w:tcPr>
            <w:tcW w:w="4770" w:type="dxa"/>
          </w:tcPr>
          <w:p w:rsidR="003966AC" w:rsidRDefault="003966AC"/>
        </w:tc>
      </w:tr>
      <w:tr w:rsidR="003966AC" w:rsidTr="004E0FF3">
        <w:tc>
          <w:tcPr>
            <w:tcW w:w="2610" w:type="dxa"/>
          </w:tcPr>
          <w:p w:rsidR="003966AC" w:rsidRDefault="00022673">
            <w:r>
              <w:t>Project Status</w:t>
            </w:r>
          </w:p>
          <w:p w:rsidR="00EF5E96" w:rsidRDefault="00EF5E96"/>
        </w:tc>
        <w:tc>
          <w:tcPr>
            <w:tcW w:w="3060" w:type="dxa"/>
          </w:tcPr>
          <w:p w:rsidR="003966AC" w:rsidRDefault="00022673">
            <w:r>
              <w:t>Select “Fully Completed” from the drop-down menu</w:t>
            </w:r>
          </w:p>
          <w:p w:rsidR="00022673" w:rsidRDefault="00022673"/>
        </w:tc>
        <w:tc>
          <w:tcPr>
            <w:tcW w:w="4770" w:type="dxa"/>
          </w:tcPr>
          <w:p w:rsidR="003966AC" w:rsidRDefault="003966AC"/>
        </w:tc>
      </w:tr>
      <w:tr w:rsidR="003966AC" w:rsidTr="004E0FF3">
        <w:tc>
          <w:tcPr>
            <w:tcW w:w="2610" w:type="dxa"/>
          </w:tcPr>
          <w:p w:rsidR="003966AC" w:rsidRDefault="00821269">
            <w:r>
              <w:t>Total Federal Amount ARRA Funds Received/Invoiced</w:t>
            </w:r>
          </w:p>
          <w:p w:rsidR="00EF5E96" w:rsidRDefault="00EF5E96"/>
        </w:tc>
        <w:tc>
          <w:tcPr>
            <w:tcW w:w="3060" w:type="dxa"/>
          </w:tcPr>
          <w:p w:rsidR="003966AC" w:rsidRDefault="00821269" w:rsidP="00B43028">
            <w:r>
              <w:t>Should equal the Award Amount</w:t>
            </w:r>
          </w:p>
        </w:tc>
        <w:tc>
          <w:tcPr>
            <w:tcW w:w="4770" w:type="dxa"/>
          </w:tcPr>
          <w:p w:rsidR="00060E1C" w:rsidRDefault="00821269" w:rsidP="00455346">
            <w:r>
              <w:t xml:space="preserve">If the </w:t>
            </w:r>
            <w:r w:rsidRPr="0077042D">
              <w:rPr>
                <w:color w:val="0070C0"/>
              </w:rPr>
              <w:t>Total Federal Amount ARRA Funds Received/Invoiced</w:t>
            </w:r>
            <w:r>
              <w:t xml:space="preserve"> does not equal the </w:t>
            </w:r>
            <w:r w:rsidRPr="0077042D">
              <w:rPr>
                <w:color w:val="0070C0"/>
              </w:rPr>
              <w:t>Award Amount</w:t>
            </w:r>
            <w:r>
              <w:t xml:space="preserve">, then provide an explanation for the difference in the </w:t>
            </w:r>
            <w:r w:rsidRPr="0077042D">
              <w:rPr>
                <w:color w:val="0070C0"/>
              </w:rPr>
              <w:t>Quarterly Activities/Project Description</w:t>
            </w:r>
            <w:r>
              <w:t xml:space="preserve"> field.  In doing so, confirm that no additional monies will be </w:t>
            </w:r>
            <w:r w:rsidR="00D54941">
              <w:t>received</w:t>
            </w:r>
            <w:r>
              <w:t xml:space="preserve"> and that monies that have not been received should be deobligated.</w:t>
            </w:r>
          </w:p>
        </w:tc>
      </w:tr>
      <w:tr w:rsidR="003966AC" w:rsidTr="004E0FF3">
        <w:tc>
          <w:tcPr>
            <w:tcW w:w="2610" w:type="dxa"/>
          </w:tcPr>
          <w:p w:rsidR="003966AC" w:rsidRDefault="00D83CC6">
            <w:r>
              <w:t>Total Federal Amount of ARRA Expenditure</w:t>
            </w:r>
          </w:p>
          <w:p w:rsidR="00EF5E96" w:rsidRDefault="00EF5E96"/>
        </w:tc>
        <w:tc>
          <w:tcPr>
            <w:tcW w:w="3060" w:type="dxa"/>
          </w:tcPr>
          <w:p w:rsidR="003966AC" w:rsidRDefault="00D83CC6">
            <w:r>
              <w:t>Should likely equal the Award Amount</w:t>
            </w:r>
          </w:p>
        </w:tc>
        <w:tc>
          <w:tcPr>
            <w:tcW w:w="4770" w:type="dxa"/>
          </w:tcPr>
          <w:p w:rsidR="00060E1C" w:rsidRDefault="00D83CC6" w:rsidP="00455346">
            <w:r>
              <w:t xml:space="preserve">If the </w:t>
            </w:r>
            <w:r w:rsidRPr="0077042D">
              <w:rPr>
                <w:color w:val="0070C0"/>
              </w:rPr>
              <w:t>Total Federal Amount of ARRA Expenditure</w:t>
            </w:r>
            <w:r>
              <w:t xml:space="preserve"> does not equal the </w:t>
            </w:r>
            <w:r w:rsidRPr="0077042D">
              <w:rPr>
                <w:color w:val="0070C0"/>
              </w:rPr>
              <w:t>Award Amount</w:t>
            </w:r>
            <w:r>
              <w:t xml:space="preserve">, then provide an explanation for the difference in the </w:t>
            </w:r>
            <w:r w:rsidRPr="0077042D">
              <w:rPr>
                <w:color w:val="0070C0"/>
              </w:rPr>
              <w:t>Quarterly Activities/Project Description</w:t>
            </w:r>
            <w:r>
              <w:t xml:space="preserve"> field.  In doing so, confirm that no additional monies will be expended and that unexpended monies will be returned and should be deobligated.</w:t>
            </w:r>
          </w:p>
        </w:tc>
      </w:tr>
      <w:tr w:rsidR="003966AC" w:rsidTr="004E0FF3">
        <w:tc>
          <w:tcPr>
            <w:tcW w:w="2610" w:type="dxa"/>
          </w:tcPr>
          <w:p w:rsidR="003966AC" w:rsidRDefault="0077042D">
            <w:r>
              <w:t>Quarterly Activities/Project Description</w:t>
            </w:r>
          </w:p>
          <w:p w:rsidR="00EF5E96" w:rsidRDefault="00EF5E96"/>
        </w:tc>
        <w:tc>
          <w:tcPr>
            <w:tcW w:w="3060" w:type="dxa"/>
          </w:tcPr>
          <w:p w:rsidR="0077042D" w:rsidRDefault="0077042D" w:rsidP="00455346">
            <w:r>
              <w:t>As noted above, should explain difference</w:t>
            </w:r>
            <w:r w:rsidR="00B43028">
              <w:t xml:space="preserve"> </w:t>
            </w:r>
            <w:r>
              <w:t xml:space="preserve">between the amounts reported in the </w:t>
            </w:r>
            <w:r w:rsidRPr="0077042D">
              <w:rPr>
                <w:color w:val="0070C0"/>
              </w:rPr>
              <w:t>Total Federal Amount ARRA Funds Received/Invoiced</w:t>
            </w:r>
            <w:r>
              <w:t xml:space="preserve"> field and </w:t>
            </w:r>
            <w:r w:rsidRPr="0077042D">
              <w:rPr>
                <w:color w:val="0070C0"/>
              </w:rPr>
              <w:t xml:space="preserve">Award Amount </w:t>
            </w:r>
            <w:r>
              <w:t>field.</w:t>
            </w:r>
          </w:p>
        </w:tc>
        <w:tc>
          <w:tcPr>
            <w:tcW w:w="4770" w:type="dxa"/>
          </w:tcPr>
          <w:p w:rsidR="003966AC" w:rsidRDefault="003966AC"/>
        </w:tc>
      </w:tr>
      <w:tr w:rsidR="003966AC" w:rsidTr="004E0FF3">
        <w:tc>
          <w:tcPr>
            <w:tcW w:w="2610" w:type="dxa"/>
            <w:tcBorders>
              <w:bottom w:val="single" w:sz="4" w:space="0" w:color="auto"/>
            </w:tcBorders>
          </w:tcPr>
          <w:p w:rsidR="003966AC" w:rsidRDefault="0077042D">
            <w:r>
              <w:t>Quarterly Activities/Project Description</w:t>
            </w:r>
          </w:p>
          <w:p w:rsidR="00EF5E96" w:rsidRDefault="00EF5E96"/>
        </w:tc>
        <w:tc>
          <w:tcPr>
            <w:tcW w:w="3060" w:type="dxa"/>
            <w:tcBorders>
              <w:bottom w:val="single" w:sz="4" w:space="0" w:color="auto"/>
            </w:tcBorders>
          </w:tcPr>
          <w:p w:rsidR="003966AC" w:rsidRDefault="0077042D" w:rsidP="00455346">
            <w:r>
              <w:t xml:space="preserve">As noted above, should explain difference between the amounts reported in the </w:t>
            </w:r>
            <w:r w:rsidRPr="0077042D">
              <w:rPr>
                <w:color w:val="0070C0"/>
              </w:rPr>
              <w:t xml:space="preserve">Total Federal Amount </w:t>
            </w:r>
            <w:r>
              <w:rPr>
                <w:color w:val="0070C0"/>
              </w:rPr>
              <w:t xml:space="preserve">of </w:t>
            </w:r>
            <w:r w:rsidRPr="0077042D">
              <w:rPr>
                <w:color w:val="0070C0"/>
              </w:rPr>
              <w:t xml:space="preserve">ARRA </w:t>
            </w:r>
            <w:r>
              <w:rPr>
                <w:color w:val="0070C0"/>
              </w:rPr>
              <w:t xml:space="preserve">Expenditure </w:t>
            </w:r>
            <w:r>
              <w:t xml:space="preserve">field and </w:t>
            </w:r>
            <w:r w:rsidRPr="0077042D">
              <w:rPr>
                <w:color w:val="0070C0"/>
              </w:rPr>
              <w:t xml:space="preserve">Award Amount </w:t>
            </w:r>
            <w:r>
              <w:t>field.</w:t>
            </w:r>
          </w:p>
        </w:tc>
        <w:tc>
          <w:tcPr>
            <w:tcW w:w="4770" w:type="dxa"/>
            <w:tcBorders>
              <w:bottom w:val="single" w:sz="4" w:space="0" w:color="auto"/>
            </w:tcBorders>
          </w:tcPr>
          <w:p w:rsidR="003966AC" w:rsidRDefault="003966AC"/>
        </w:tc>
      </w:tr>
      <w:tr w:rsidR="00C06BE0" w:rsidTr="004E0FF3">
        <w:tc>
          <w:tcPr>
            <w:tcW w:w="10440" w:type="dxa"/>
            <w:gridSpan w:val="3"/>
            <w:shd w:val="clear" w:color="auto" w:fill="FFFF00"/>
          </w:tcPr>
          <w:p w:rsidR="00C06BE0" w:rsidRPr="00C06BE0" w:rsidRDefault="00C06BE0">
            <w:pPr>
              <w:rPr>
                <w:b/>
              </w:rPr>
            </w:pPr>
            <w:r w:rsidRPr="00C06BE0">
              <w:rPr>
                <w:b/>
              </w:rPr>
              <w:lastRenderedPageBreak/>
              <w:t>Other Notes</w:t>
            </w:r>
          </w:p>
          <w:p w:rsidR="00C06BE0" w:rsidRDefault="00C06BE0"/>
        </w:tc>
      </w:tr>
      <w:tr w:rsidR="00C06BE0" w:rsidTr="004E0FF3">
        <w:tc>
          <w:tcPr>
            <w:tcW w:w="10440" w:type="dxa"/>
            <w:gridSpan w:val="3"/>
          </w:tcPr>
          <w:p w:rsidR="004C6012" w:rsidRDefault="00C06BE0" w:rsidP="00455346">
            <w:pPr>
              <w:tabs>
                <w:tab w:val="left" w:pos="0"/>
              </w:tabs>
            </w:pPr>
            <w:r w:rsidRPr="00C06BE0">
              <w:t>Inactive sub</w:t>
            </w:r>
            <w:r w:rsidR="00035E3C">
              <w:t>-</w:t>
            </w:r>
            <w:r w:rsidRPr="00C06BE0">
              <w:t>recipient and vendors awards (the work was completed and/or the period of performance has ended) still need to appear in the final ARRA report submission.</w:t>
            </w:r>
            <w:r w:rsidR="00035E3C">
              <w:t xml:space="preserve">  Prime Recipients are responsible for the completeness and accuracy of sub-recipient and vendor </w:t>
            </w:r>
            <w:r w:rsidR="00F7714A">
              <w:t>data</w:t>
            </w:r>
            <w:r w:rsidR="00035E3C">
              <w:t>.</w:t>
            </w:r>
          </w:p>
          <w:p w:rsidR="00455346" w:rsidRDefault="00455346" w:rsidP="00455346">
            <w:pPr>
              <w:tabs>
                <w:tab w:val="left" w:pos="0"/>
              </w:tabs>
            </w:pPr>
          </w:p>
        </w:tc>
      </w:tr>
      <w:tr w:rsidR="00C06BE0" w:rsidTr="004E0FF3">
        <w:tc>
          <w:tcPr>
            <w:tcW w:w="10440" w:type="dxa"/>
            <w:gridSpan w:val="3"/>
          </w:tcPr>
          <w:p w:rsidR="00C06BE0" w:rsidRDefault="00C06BE0" w:rsidP="004C6012">
            <w:r>
              <w:t xml:space="preserve">All previous quality control processes remain in effect (e.g. correct Award Amount, Award Number, </w:t>
            </w:r>
            <w:r w:rsidR="00F7714A">
              <w:t>DUNS Number, TAS Code, Awarding Agency/Funding Agency Code</w:t>
            </w:r>
            <w:r>
              <w:t>)</w:t>
            </w:r>
            <w:r w:rsidR="00F7714A">
              <w:t>.  Any errors identified in these fields must be fixed before a report can be considered final.</w:t>
            </w:r>
          </w:p>
          <w:p w:rsidR="004C6012" w:rsidRDefault="004C6012" w:rsidP="004C6012"/>
        </w:tc>
      </w:tr>
      <w:tr w:rsidR="00FA79BE" w:rsidTr="004E0FF3">
        <w:tc>
          <w:tcPr>
            <w:tcW w:w="10440" w:type="dxa"/>
            <w:gridSpan w:val="3"/>
          </w:tcPr>
          <w:p w:rsidR="008818B1" w:rsidRDefault="00F7714A" w:rsidP="00605906">
            <w:r>
              <w:t xml:space="preserve">Final reports will be subject to an agency review and reconciliation process.  </w:t>
            </w:r>
            <w:r w:rsidR="008818B1">
              <w:t xml:space="preserve">In sum, </w:t>
            </w:r>
            <w:r w:rsidR="00F775F1">
              <w:t xml:space="preserve">the Department </w:t>
            </w:r>
            <w:r w:rsidR="008818B1">
              <w:t xml:space="preserve">will </w:t>
            </w:r>
            <w:r w:rsidR="00734547">
              <w:t xml:space="preserve">compare final </w:t>
            </w:r>
            <w:r w:rsidR="00F775F1">
              <w:t>ARRA final report submission</w:t>
            </w:r>
            <w:r w:rsidR="008818B1">
              <w:t xml:space="preserve">s </w:t>
            </w:r>
            <w:r w:rsidR="00734547">
              <w:t xml:space="preserve">to internal grantee data </w:t>
            </w:r>
            <w:r w:rsidR="008818B1">
              <w:t>and notify grantees, via FederalReporting.gov, if adjustments/corrections are identified</w:t>
            </w:r>
            <w:r w:rsidR="00DC3BC4">
              <w:t>.</w:t>
            </w:r>
          </w:p>
          <w:p w:rsidR="00455346" w:rsidRDefault="00455346" w:rsidP="00605906"/>
        </w:tc>
      </w:tr>
    </w:tbl>
    <w:p w:rsidR="00054CDE" w:rsidRDefault="00054CDE" w:rsidP="00060E1C"/>
    <w:p w:rsidR="00455346" w:rsidRDefault="00455346" w:rsidP="00060E1C">
      <w:r>
        <w:t xml:space="preserve">Questions on ARRA recipient reporting can be directed to Tracey Mock at </w:t>
      </w:r>
      <w:hyperlink r:id="rId5" w:history="1">
        <w:r w:rsidRPr="00F719B2">
          <w:rPr>
            <w:rStyle w:val="Hyperlink"/>
          </w:rPr>
          <w:t>tracey.mock@hhs.gov</w:t>
        </w:r>
      </w:hyperlink>
      <w:r>
        <w:t xml:space="preserve"> or (202) 205-4411</w:t>
      </w:r>
    </w:p>
    <w:p w:rsidR="00455346" w:rsidRDefault="00455346" w:rsidP="00060E1C"/>
    <w:sectPr w:rsidR="00455346" w:rsidSect="004E0FF3">
      <w:pgSz w:w="12240" w:h="15840"/>
      <w:pgMar w:top="720" w:right="108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1313C"/>
    <w:multiLevelType w:val="hybridMultilevel"/>
    <w:tmpl w:val="84E27836"/>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2E38A806">
      <w:start w:val="1"/>
      <w:numFmt w:val="upperLetter"/>
      <w:lvlText w:val="%5."/>
      <w:lvlJc w:val="left"/>
      <w:pPr>
        <w:tabs>
          <w:tab w:val="num" w:pos="3600"/>
        </w:tabs>
        <w:ind w:left="3600" w:hanging="360"/>
      </w:pPr>
      <w:rPr>
        <w:rFonts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966AC"/>
    <w:rsid w:val="000076A5"/>
    <w:rsid w:val="00022673"/>
    <w:rsid w:val="00035E3C"/>
    <w:rsid w:val="00054CDE"/>
    <w:rsid w:val="00060E1C"/>
    <w:rsid w:val="000841DC"/>
    <w:rsid w:val="0012464F"/>
    <w:rsid w:val="002476F8"/>
    <w:rsid w:val="0039353D"/>
    <w:rsid w:val="003966AC"/>
    <w:rsid w:val="003C3FA7"/>
    <w:rsid w:val="00451F6A"/>
    <w:rsid w:val="00455346"/>
    <w:rsid w:val="004C6012"/>
    <w:rsid w:val="004E0FF3"/>
    <w:rsid w:val="00512354"/>
    <w:rsid w:val="00530AA5"/>
    <w:rsid w:val="00605906"/>
    <w:rsid w:val="006A2443"/>
    <w:rsid w:val="00726EFE"/>
    <w:rsid w:val="00734547"/>
    <w:rsid w:val="00757AC7"/>
    <w:rsid w:val="0077042D"/>
    <w:rsid w:val="007B79D8"/>
    <w:rsid w:val="007E147F"/>
    <w:rsid w:val="00821269"/>
    <w:rsid w:val="008270D3"/>
    <w:rsid w:val="008818B1"/>
    <w:rsid w:val="008D7331"/>
    <w:rsid w:val="009E5A3B"/>
    <w:rsid w:val="00AF2BA5"/>
    <w:rsid w:val="00B43028"/>
    <w:rsid w:val="00BF53F5"/>
    <w:rsid w:val="00C06BE0"/>
    <w:rsid w:val="00C65E10"/>
    <w:rsid w:val="00D01CE4"/>
    <w:rsid w:val="00D54941"/>
    <w:rsid w:val="00D83CC6"/>
    <w:rsid w:val="00D8500F"/>
    <w:rsid w:val="00DC3BC4"/>
    <w:rsid w:val="00EF5E96"/>
    <w:rsid w:val="00F7714A"/>
    <w:rsid w:val="00F775F1"/>
    <w:rsid w:val="00FA79BE"/>
    <w:rsid w:val="00FC27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6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553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acey.mock@h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1182</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Tracey Mock</cp:lastModifiedBy>
  <cp:revision>33</cp:revision>
  <cp:lastPrinted>2012-11-29T13:36:00Z</cp:lastPrinted>
  <dcterms:created xsi:type="dcterms:W3CDTF">2012-11-15T13:17:00Z</dcterms:created>
  <dcterms:modified xsi:type="dcterms:W3CDTF">2013-06-06T19:43:00Z</dcterms:modified>
</cp:coreProperties>
</file>