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C44CD" w14:textId="3FC6635B" w:rsidR="00302C0C" w:rsidRDefault="00302C0C"/>
    <w:p w14:paraId="1AAB5D20" w14:textId="5999DBFC" w:rsidR="005318A3" w:rsidRPr="005318A3" w:rsidRDefault="00DD0E80" w:rsidP="005318A3">
      <w:bookmarkStart w:id="0" w:name="_GoBack"/>
      <w:bookmarkEnd w:id="0"/>
      <w:r w:rsidRPr="001B3E0B">
        <w:t>March 1</w:t>
      </w:r>
      <w:r w:rsidR="001B3E0B" w:rsidRPr="001B3E0B">
        <w:t>3</w:t>
      </w:r>
      <w:r w:rsidR="0F1D31FC" w:rsidRPr="001B3E0B">
        <w:t>, 20</w:t>
      </w:r>
      <w:r w:rsidRPr="001B3E0B">
        <w:t>20</w:t>
      </w:r>
      <w:r w:rsidR="0F1D31FC">
        <w:t> </w:t>
      </w:r>
    </w:p>
    <w:p w14:paraId="5C46BB4C" w14:textId="77777777" w:rsidR="008100C5" w:rsidRPr="005318A3" w:rsidRDefault="008100C5" w:rsidP="008100C5">
      <w:pPr>
        <w:spacing w:after="0" w:line="240" w:lineRule="auto"/>
      </w:pPr>
      <w:r w:rsidRPr="005318A3">
        <w:t>National Coordinator for Health Information Technology </w:t>
      </w:r>
    </w:p>
    <w:p w14:paraId="208C3511" w14:textId="77777777" w:rsidR="008100C5" w:rsidRPr="005318A3" w:rsidRDefault="008100C5" w:rsidP="008100C5">
      <w:pPr>
        <w:spacing w:after="0" w:line="240" w:lineRule="auto"/>
      </w:pPr>
      <w:r w:rsidRPr="005318A3">
        <w:t>US Department of Health and Human Services </w:t>
      </w:r>
    </w:p>
    <w:p w14:paraId="3DDC9A94" w14:textId="2DE4C6FA" w:rsidR="008100C5" w:rsidRPr="005318A3" w:rsidRDefault="008100C5" w:rsidP="008100C5">
      <w:pPr>
        <w:spacing w:after="0" w:line="240" w:lineRule="auto"/>
      </w:pPr>
      <w:r w:rsidRPr="005318A3">
        <w:t>330 C St. SW</w:t>
      </w:r>
    </w:p>
    <w:p w14:paraId="5322EB98" w14:textId="77777777" w:rsidR="008100C5" w:rsidRPr="005318A3" w:rsidRDefault="008100C5" w:rsidP="008100C5">
      <w:pPr>
        <w:spacing w:after="0" w:line="240" w:lineRule="auto"/>
      </w:pPr>
      <w:r w:rsidRPr="005318A3">
        <w:t>Washington, DC  20201 </w:t>
      </w:r>
    </w:p>
    <w:p w14:paraId="3846534F" w14:textId="77777777" w:rsidR="00C6725D" w:rsidRDefault="00C6725D" w:rsidP="00C6725D">
      <w:pPr>
        <w:spacing w:after="0"/>
      </w:pPr>
    </w:p>
    <w:p w14:paraId="23983D19" w14:textId="4F38AE40" w:rsidR="003D437A" w:rsidRDefault="00C6725D">
      <w:r>
        <w:t>To whom it may concern</w:t>
      </w:r>
      <w:r w:rsidR="006E36C5">
        <w:t>,</w:t>
      </w:r>
    </w:p>
    <w:p w14:paraId="234403E4" w14:textId="28ABC8AE" w:rsidR="006E36C5" w:rsidRDefault="162CE3C1" w:rsidP="7EA6BFFC">
      <w:pPr>
        <w:rPr>
          <w:iCs/>
        </w:rPr>
      </w:pPr>
      <w:r>
        <w:t>On behalf of Altarum, we are pleased to submit comments on</w:t>
      </w:r>
      <w:r w:rsidR="00FA3FA1">
        <w:t xml:space="preserve"> the 2020-2025 </w:t>
      </w:r>
      <w:r w:rsidR="00954DCE">
        <w:t>Federal Health IT Strategic P</w:t>
      </w:r>
      <w:r w:rsidR="003F093A">
        <w:t>l</w:t>
      </w:r>
      <w:r w:rsidR="00954DCE">
        <w:t>an</w:t>
      </w:r>
      <w:r w:rsidR="008100C5" w:rsidRPr="008100C5">
        <w:t>.</w:t>
      </w:r>
      <w:r>
        <w:t xml:space="preserve"> Altarum is a non-profit committed to solutions that improve the health of vulnerable populations.  Our work spans 50 years of solving critical health IT problems, including capturing clinical data from Electronic Health Record (EHR) systems across a wide array of products and settings; utilizing tools built to collect patient-reported outcomes in multi-site global registries; </w:t>
      </w:r>
      <w:r w:rsidR="006F0291">
        <w:t xml:space="preserve">improving the capacity and </w:t>
      </w:r>
      <w:r w:rsidR="004B7383">
        <w:t>efficacy</w:t>
      </w:r>
      <w:r w:rsidR="006F0291">
        <w:t xml:space="preserve"> of </w:t>
      </w:r>
      <w:proofErr w:type="gramStart"/>
      <w:r w:rsidR="006F0291">
        <w:t>community based</w:t>
      </w:r>
      <w:proofErr w:type="gramEnd"/>
      <w:r w:rsidR="006F0291">
        <w:t xml:space="preserve"> care organizations and long term service</w:t>
      </w:r>
      <w:r w:rsidR="00100663">
        <w:t>s</w:t>
      </w:r>
      <w:r w:rsidR="006F0291">
        <w:t xml:space="preserve"> and support providers </w:t>
      </w:r>
      <w:r>
        <w:t xml:space="preserve">and developing and successfully deploying registries and clinical decision-support tools used by physicians and clinical researchers alike. Our experience ranges from facilitating some of the earliest health information exchange (HIE) planning projects to directly supporting provider adoption of electronic health records (EHRs) as the boots on the ground for Michigan’s Regional Extension Center and developing national standards for information exchange and public health reporting today. </w:t>
      </w:r>
    </w:p>
    <w:p w14:paraId="7A00282C" w14:textId="6E9F1053" w:rsidR="0F1D31FC" w:rsidRDefault="0F1D31FC" w:rsidP="0F1D31FC">
      <w:pPr>
        <w:rPr>
          <w:rFonts w:ascii="Calibri" w:eastAsia="Calibri" w:hAnsi="Calibri" w:cs="Calibri"/>
          <w:sz w:val="21"/>
          <w:szCs w:val="21"/>
        </w:rPr>
      </w:pPr>
      <w:r>
        <w:t xml:space="preserve">Given our experience, we respectfully submit the following comments. </w:t>
      </w:r>
      <w:r w:rsidRPr="0F1D31FC">
        <w:rPr>
          <w:rFonts w:ascii="Calibri" w:eastAsia="Calibri" w:hAnsi="Calibri" w:cs="Calibri"/>
          <w:sz w:val="21"/>
          <w:szCs w:val="21"/>
        </w:rPr>
        <w:t xml:space="preserve">Please contact Craig Newman (Craig.Newman@altarum.org), </w:t>
      </w:r>
      <w:proofErr w:type="spellStart"/>
      <w:r w:rsidRPr="0F1D31FC">
        <w:rPr>
          <w:rFonts w:ascii="Calibri" w:eastAsia="Calibri" w:hAnsi="Calibri" w:cs="Calibri"/>
          <w:sz w:val="21"/>
          <w:szCs w:val="21"/>
        </w:rPr>
        <w:t>Altarum’s</w:t>
      </w:r>
      <w:proofErr w:type="spellEnd"/>
      <w:r w:rsidRPr="0F1D31FC">
        <w:rPr>
          <w:rFonts w:ascii="Calibri" w:eastAsia="Calibri" w:hAnsi="Calibri" w:cs="Calibri"/>
          <w:sz w:val="21"/>
          <w:szCs w:val="21"/>
        </w:rPr>
        <w:t xml:space="preserve"> interoperability standards analyst, with any questions.</w:t>
      </w:r>
    </w:p>
    <w:p w14:paraId="6A62D450" w14:textId="6B49A8F5" w:rsidR="0F1D31FC" w:rsidRDefault="0F1D31FC" w:rsidP="0F1D31FC">
      <w:pPr>
        <w:rPr>
          <w:rFonts w:ascii="Calibri" w:eastAsia="Calibri" w:hAnsi="Calibri" w:cs="Calibri"/>
          <w:sz w:val="21"/>
          <w:szCs w:val="21"/>
        </w:rPr>
      </w:pPr>
      <w:r w:rsidRPr="0F1D31FC">
        <w:rPr>
          <w:rFonts w:ascii="Calibri" w:eastAsia="Calibri" w:hAnsi="Calibri" w:cs="Calibri"/>
          <w:sz w:val="21"/>
          <w:szCs w:val="21"/>
        </w:rPr>
        <w:t>Sincerely,</w:t>
      </w:r>
    </w:p>
    <w:p w14:paraId="4E3AA580" w14:textId="06C845C5" w:rsidR="0F1D31FC" w:rsidRDefault="0F1D31FC" w:rsidP="7F7B6069">
      <w:pPr>
        <w:rPr>
          <w:rFonts w:ascii="Calibri" w:eastAsia="Calibri" w:hAnsi="Calibri" w:cs="Calibri"/>
          <w:sz w:val="21"/>
          <w:szCs w:val="21"/>
        </w:rPr>
      </w:pPr>
      <w:r>
        <w:rPr>
          <w:noProof/>
        </w:rPr>
        <w:drawing>
          <wp:inline distT="0" distB="0" distL="0" distR="0" wp14:anchorId="2CD03EBF" wp14:editId="40ADBDF6">
            <wp:extent cx="1824038" cy="400050"/>
            <wp:effectExtent l="0" t="0" r="0" b="0"/>
            <wp:docPr id="13682641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824038" cy="400050"/>
                    </a:xfrm>
                    <a:prstGeom prst="rect">
                      <a:avLst/>
                    </a:prstGeom>
                  </pic:spPr>
                </pic:pic>
              </a:graphicData>
            </a:graphic>
          </wp:inline>
        </w:drawing>
      </w:r>
    </w:p>
    <w:p w14:paraId="2886C6F4" w14:textId="6A1AC411" w:rsidR="0F1D31FC" w:rsidRDefault="0F1D31FC" w:rsidP="0F1D31FC">
      <w:pPr>
        <w:rPr>
          <w:rFonts w:ascii="Calibri" w:eastAsia="Calibri" w:hAnsi="Calibri" w:cs="Calibri"/>
          <w:sz w:val="21"/>
          <w:szCs w:val="21"/>
        </w:rPr>
      </w:pPr>
      <w:r w:rsidRPr="0F1D31FC">
        <w:rPr>
          <w:rFonts w:ascii="Calibri" w:eastAsia="Calibri" w:hAnsi="Calibri" w:cs="Calibri"/>
          <w:sz w:val="21"/>
          <w:szCs w:val="21"/>
        </w:rPr>
        <w:t>Rick Keller, Director for the Center for Connected Health</w:t>
      </w:r>
    </w:p>
    <w:p w14:paraId="3389A417" w14:textId="09D6B5FC" w:rsidR="0F1D31FC" w:rsidRDefault="0F1D31FC" w:rsidP="0F1D31FC">
      <w:pPr>
        <w:rPr>
          <w:rFonts w:ascii="Calibri" w:eastAsia="Calibri" w:hAnsi="Calibri" w:cs="Calibri"/>
          <w:sz w:val="21"/>
          <w:szCs w:val="21"/>
        </w:rPr>
      </w:pPr>
    </w:p>
    <w:tbl>
      <w:tblPr>
        <w:tblStyle w:val="ListTable3-Accent5"/>
        <w:tblW w:w="9085" w:type="dxa"/>
        <w:tblLook w:val="0420" w:firstRow="1" w:lastRow="0" w:firstColumn="0" w:lastColumn="0" w:noHBand="0" w:noVBand="1"/>
      </w:tblPr>
      <w:tblGrid>
        <w:gridCol w:w="1705"/>
        <w:gridCol w:w="7380"/>
      </w:tblGrid>
      <w:tr w:rsidR="004618C0" w14:paraId="7983E0AC" w14:textId="77777777" w:rsidTr="004618C0">
        <w:trPr>
          <w:cnfStyle w:val="100000000000" w:firstRow="1" w:lastRow="0" w:firstColumn="0" w:lastColumn="0" w:oddVBand="0" w:evenVBand="0" w:oddHBand="0" w:evenHBand="0" w:firstRowFirstColumn="0" w:firstRowLastColumn="0" w:lastRowFirstColumn="0" w:lastRowLastColumn="0"/>
        </w:trPr>
        <w:tc>
          <w:tcPr>
            <w:tcW w:w="1705" w:type="dxa"/>
          </w:tcPr>
          <w:p w14:paraId="27650F6B" w14:textId="3224F8D1" w:rsidR="004618C0" w:rsidRDefault="004618C0" w:rsidP="00B36D3B">
            <w:pPr>
              <w:rPr>
                <w:iCs/>
              </w:rPr>
            </w:pPr>
            <w:r>
              <w:rPr>
                <w:iCs/>
              </w:rPr>
              <w:t>Section</w:t>
            </w:r>
          </w:p>
        </w:tc>
        <w:tc>
          <w:tcPr>
            <w:tcW w:w="7380" w:type="dxa"/>
          </w:tcPr>
          <w:p w14:paraId="7902BFC5" w14:textId="5E9E6E5A" w:rsidR="004618C0" w:rsidRDefault="004618C0" w:rsidP="00B36D3B">
            <w:pPr>
              <w:rPr>
                <w:iCs/>
              </w:rPr>
            </w:pPr>
            <w:r>
              <w:rPr>
                <w:iCs/>
              </w:rPr>
              <w:t>Comment</w:t>
            </w:r>
          </w:p>
        </w:tc>
      </w:tr>
      <w:tr w:rsidR="004618C0" w14:paraId="172C59A5" w14:textId="77777777" w:rsidTr="004618C0">
        <w:trPr>
          <w:cnfStyle w:val="000000100000" w:firstRow="0" w:lastRow="0" w:firstColumn="0" w:lastColumn="0" w:oddVBand="0" w:evenVBand="0" w:oddHBand="1" w:evenHBand="0" w:firstRowFirstColumn="0" w:firstRowLastColumn="0" w:lastRowFirstColumn="0" w:lastRowLastColumn="0"/>
        </w:trPr>
        <w:tc>
          <w:tcPr>
            <w:tcW w:w="1705" w:type="dxa"/>
          </w:tcPr>
          <w:p w14:paraId="6D97EAFA" w14:textId="55EC7ED4" w:rsidR="004618C0" w:rsidRDefault="004618C0" w:rsidP="0F1D31FC">
            <w:pPr>
              <w:rPr>
                <w:sz w:val="20"/>
                <w:szCs w:val="20"/>
              </w:rPr>
            </w:pPr>
            <w:r>
              <w:rPr>
                <w:sz w:val="20"/>
                <w:szCs w:val="20"/>
              </w:rPr>
              <w:t>How Health IT is Used (Page 7)</w:t>
            </w:r>
          </w:p>
        </w:tc>
        <w:tc>
          <w:tcPr>
            <w:tcW w:w="7380" w:type="dxa"/>
          </w:tcPr>
          <w:p w14:paraId="3FDCDD8E" w14:textId="0DFDC157" w:rsidR="004618C0" w:rsidRDefault="004618C0" w:rsidP="0030527D">
            <w:pPr>
              <w:rPr>
                <w:sz w:val="20"/>
                <w:szCs w:val="20"/>
              </w:rPr>
            </w:pPr>
            <w:r>
              <w:rPr>
                <w:sz w:val="20"/>
                <w:szCs w:val="20"/>
              </w:rPr>
              <w:t>We feel that it is important to emphasi</w:t>
            </w:r>
            <w:r w:rsidR="00BC47DA">
              <w:rPr>
                <w:sz w:val="20"/>
                <w:szCs w:val="20"/>
              </w:rPr>
              <w:t>ze</w:t>
            </w:r>
            <w:r>
              <w:rPr>
                <w:sz w:val="20"/>
                <w:szCs w:val="20"/>
              </w:rPr>
              <w:t xml:space="preserve"> that the populat</w:t>
            </w:r>
            <w:r w:rsidR="00883E3C">
              <w:rPr>
                <w:sz w:val="20"/>
                <w:szCs w:val="20"/>
              </w:rPr>
              <w:t>ion</w:t>
            </w:r>
            <w:r>
              <w:rPr>
                <w:sz w:val="20"/>
                <w:szCs w:val="20"/>
              </w:rPr>
              <w:t xml:space="preserve">-level data collected by public health is </w:t>
            </w:r>
            <w:r w:rsidR="00883E3C">
              <w:rPr>
                <w:sz w:val="20"/>
                <w:szCs w:val="20"/>
              </w:rPr>
              <w:t xml:space="preserve">a </w:t>
            </w:r>
            <w:r>
              <w:rPr>
                <w:sz w:val="20"/>
                <w:szCs w:val="20"/>
              </w:rPr>
              <w:t>critical resource for clinicians and researchers who are striving for a learning health system and the application of knowledge to improve patient care processes and outcomes. It is essential that health care providers understand the relationship between the data collected by public health and the point of care improvements that result from the analysis and interpretation of these large data sets.</w:t>
            </w:r>
            <w:r w:rsidR="00EB7E20">
              <w:rPr>
                <w:sz w:val="20"/>
                <w:szCs w:val="20"/>
              </w:rPr>
              <w:t xml:space="preserve"> </w:t>
            </w:r>
            <w:r w:rsidR="00EB7E20">
              <w:rPr>
                <w:rFonts w:cstheme="minorHAnsi"/>
                <w:sz w:val="20"/>
                <w:szCs w:val="20"/>
              </w:rPr>
              <w:t xml:space="preserve"> In addition, </w:t>
            </w:r>
            <w:r w:rsidR="00EB7E20">
              <w:rPr>
                <w:sz w:val="20"/>
                <w:szCs w:val="20"/>
              </w:rPr>
              <w:t xml:space="preserve">Public Health </w:t>
            </w:r>
            <w:r w:rsidR="00BC76B8">
              <w:rPr>
                <w:sz w:val="20"/>
                <w:szCs w:val="20"/>
              </w:rPr>
              <w:t xml:space="preserve">also </w:t>
            </w:r>
            <w:r w:rsidR="00EB7E20">
              <w:rPr>
                <w:sz w:val="20"/>
                <w:szCs w:val="20"/>
              </w:rPr>
              <w:t>do</w:t>
            </w:r>
            <w:r w:rsidR="00BC76B8">
              <w:rPr>
                <w:sz w:val="20"/>
                <w:szCs w:val="20"/>
              </w:rPr>
              <w:t>es</w:t>
            </w:r>
            <w:r w:rsidR="00EB7E20">
              <w:rPr>
                <w:sz w:val="20"/>
                <w:szCs w:val="20"/>
              </w:rPr>
              <w:t xml:space="preserve"> more to help support direct patient care. Immunization provides consolidated immunization history including CDS </w:t>
            </w:r>
            <w:r w:rsidR="00BC76B8">
              <w:rPr>
                <w:sz w:val="20"/>
                <w:szCs w:val="20"/>
              </w:rPr>
              <w:t>while</w:t>
            </w:r>
            <w:r w:rsidR="00EB7E20">
              <w:rPr>
                <w:sz w:val="20"/>
                <w:szCs w:val="20"/>
              </w:rPr>
              <w:t xml:space="preserve"> PDMP provides past prescription information to clinicians. Public Health does more than collect data for population purposes. </w:t>
            </w:r>
          </w:p>
        </w:tc>
      </w:tr>
      <w:tr w:rsidR="00FC7CBD" w14:paraId="3063F5E6" w14:textId="77777777" w:rsidTr="004618C0">
        <w:tc>
          <w:tcPr>
            <w:tcW w:w="1705" w:type="dxa"/>
          </w:tcPr>
          <w:p w14:paraId="65274AE8" w14:textId="7F3FA5D5" w:rsidR="00FC7CBD" w:rsidRDefault="00FC7CBD" w:rsidP="0F1D31FC">
            <w:pPr>
              <w:rPr>
                <w:sz w:val="20"/>
                <w:szCs w:val="20"/>
              </w:rPr>
            </w:pPr>
            <w:r>
              <w:rPr>
                <w:sz w:val="20"/>
                <w:szCs w:val="20"/>
              </w:rPr>
              <w:t>Goal 1 (Page 14)</w:t>
            </w:r>
          </w:p>
        </w:tc>
        <w:tc>
          <w:tcPr>
            <w:tcW w:w="7380" w:type="dxa"/>
          </w:tcPr>
          <w:p w14:paraId="2F7180B9" w14:textId="3F47DB1F" w:rsidR="00FC7CBD" w:rsidRDefault="00F107D7" w:rsidP="0030527D">
            <w:pPr>
              <w:rPr>
                <w:sz w:val="20"/>
                <w:szCs w:val="20"/>
              </w:rPr>
            </w:pPr>
            <w:r>
              <w:rPr>
                <w:sz w:val="20"/>
                <w:szCs w:val="20"/>
              </w:rPr>
              <w:t xml:space="preserve">Given the significant role that Federal agencies play in not only managing and funding major Public Health initiatives, this plan needs to more prominently and less ambiguously ensure continuing support for these activities. Perhaps Goal 1 (Promote Health and Wellness) should include an additional objective along the lines of, “Sustain </w:t>
            </w:r>
            <w:r>
              <w:rPr>
                <w:sz w:val="20"/>
                <w:szCs w:val="20"/>
              </w:rPr>
              <w:lastRenderedPageBreak/>
              <w:t>the collaborative activities necessary to ensure Public Health surveillance, readiness, and response.”</w:t>
            </w:r>
          </w:p>
        </w:tc>
      </w:tr>
      <w:tr w:rsidR="004618C0" w14:paraId="598EA86C" w14:textId="77777777" w:rsidTr="004618C0">
        <w:trPr>
          <w:cnfStyle w:val="000000100000" w:firstRow="0" w:lastRow="0" w:firstColumn="0" w:lastColumn="0" w:oddVBand="0" w:evenVBand="0" w:oddHBand="1" w:evenHBand="0" w:firstRowFirstColumn="0" w:firstRowLastColumn="0" w:lastRowFirstColumn="0" w:lastRowLastColumn="0"/>
        </w:trPr>
        <w:tc>
          <w:tcPr>
            <w:tcW w:w="1705" w:type="dxa"/>
          </w:tcPr>
          <w:p w14:paraId="19AEBB0F" w14:textId="6BAD5E25" w:rsidR="004618C0" w:rsidRPr="0030527D" w:rsidRDefault="004618C0" w:rsidP="0F1D31FC">
            <w:pPr>
              <w:rPr>
                <w:sz w:val="20"/>
                <w:szCs w:val="20"/>
              </w:rPr>
            </w:pPr>
            <w:r>
              <w:rPr>
                <w:sz w:val="20"/>
                <w:szCs w:val="20"/>
              </w:rPr>
              <w:lastRenderedPageBreak/>
              <w:t>Objective 1b (Page 14)</w:t>
            </w:r>
          </w:p>
        </w:tc>
        <w:tc>
          <w:tcPr>
            <w:tcW w:w="7380" w:type="dxa"/>
          </w:tcPr>
          <w:p w14:paraId="7F71CA21" w14:textId="79E194CC" w:rsidR="004618C0" w:rsidRPr="003B670E" w:rsidRDefault="004618C0" w:rsidP="00124DCD">
            <w:pPr>
              <w:autoSpaceDE w:val="0"/>
              <w:autoSpaceDN w:val="0"/>
              <w:adjustRightInd w:val="0"/>
              <w:rPr>
                <w:sz w:val="20"/>
                <w:szCs w:val="20"/>
              </w:rPr>
            </w:pPr>
            <w:r>
              <w:rPr>
                <w:sz w:val="20"/>
                <w:szCs w:val="20"/>
              </w:rPr>
              <w:t>Where the objective describes “</w:t>
            </w:r>
            <w:r w:rsidRPr="00124DCD">
              <w:rPr>
                <w:sz w:val="20"/>
                <w:szCs w:val="20"/>
              </w:rPr>
              <w:t>L</w:t>
            </w:r>
            <w:r w:rsidRPr="00DA6883">
              <w:rPr>
                <w:sz w:val="20"/>
                <w:szCs w:val="20"/>
              </w:rPr>
              <w:t>everage all levels of data (e.g., individual- and community-level)</w:t>
            </w:r>
            <w:r>
              <w:rPr>
                <w:sz w:val="20"/>
                <w:szCs w:val="20"/>
              </w:rPr>
              <w:t xml:space="preserve"> “, we note that “community-level” is not a term used elsewhere in the document. We suggest the use of the terms “public health surveillance” and “population-level” to emphasize the important role that the public health community plays in promoting safe and healthy populations.</w:t>
            </w:r>
          </w:p>
        </w:tc>
      </w:tr>
      <w:tr w:rsidR="004618C0" w14:paraId="1A0983EB" w14:textId="77777777" w:rsidTr="004618C0">
        <w:tc>
          <w:tcPr>
            <w:tcW w:w="1705" w:type="dxa"/>
          </w:tcPr>
          <w:p w14:paraId="754BDE04" w14:textId="7501AD72" w:rsidR="004618C0" w:rsidRPr="0030527D" w:rsidRDefault="004618C0" w:rsidP="00742D69">
            <w:pPr>
              <w:rPr>
                <w:sz w:val="20"/>
                <w:szCs w:val="20"/>
              </w:rPr>
            </w:pPr>
            <w:r>
              <w:rPr>
                <w:sz w:val="20"/>
                <w:szCs w:val="20"/>
              </w:rPr>
              <w:t>Objective 1c (Page 14)</w:t>
            </w:r>
          </w:p>
        </w:tc>
        <w:tc>
          <w:tcPr>
            <w:tcW w:w="7380" w:type="dxa"/>
          </w:tcPr>
          <w:p w14:paraId="3CA93F91" w14:textId="68F12893" w:rsidR="004618C0" w:rsidRPr="0030527D" w:rsidRDefault="004618C0" w:rsidP="00742D69">
            <w:pPr>
              <w:rPr>
                <w:sz w:val="20"/>
                <w:szCs w:val="20"/>
              </w:rPr>
            </w:pPr>
            <w:r>
              <w:rPr>
                <w:sz w:val="20"/>
                <w:szCs w:val="20"/>
              </w:rPr>
              <w:t xml:space="preserve">We appreciate the acknowledgment of the role that community-based care organizations and long-term services and support (LTSS) providers play in the provision of person-centered healthcare and human services. We feel that these organizations </w:t>
            </w:r>
            <w:r w:rsidR="00054143">
              <w:rPr>
                <w:sz w:val="20"/>
                <w:szCs w:val="20"/>
              </w:rPr>
              <w:t xml:space="preserve">are </w:t>
            </w:r>
            <w:r>
              <w:rPr>
                <w:sz w:val="20"/>
                <w:szCs w:val="20"/>
              </w:rPr>
              <w:t>vital stakeholders in the federal strategic plan and should be called out as such elsewhere in the document where key players are mentioned.</w:t>
            </w:r>
          </w:p>
        </w:tc>
      </w:tr>
      <w:tr w:rsidR="004618C0" w14:paraId="7082D87F" w14:textId="77777777" w:rsidTr="004618C0">
        <w:trPr>
          <w:cnfStyle w:val="000000100000" w:firstRow="0" w:lastRow="0" w:firstColumn="0" w:lastColumn="0" w:oddVBand="0" w:evenVBand="0" w:oddHBand="1" w:evenHBand="0" w:firstRowFirstColumn="0" w:firstRowLastColumn="0" w:lastRowFirstColumn="0" w:lastRowLastColumn="0"/>
        </w:trPr>
        <w:tc>
          <w:tcPr>
            <w:tcW w:w="1705" w:type="dxa"/>
          </w:tcPr>
          <w:p w14:paraId="17D12437" w14:textId="17F81CFE" w:rsidR="004618C0" w:rsidRPr="0030527D" w:rsidRDefault="004618C0" w:rsidP="00742D69">
            <w:pPr>
              <w:rPr>
                <w:sz w:val="20"/>
                <w:szCs w:val="20"/>
              </w:rPr>
            </w:pPr>
            <w:r w:rsidRPr="00136C03">
              <w:rPr>
                <w:sz w:val="20"/>
                <w:szCs w:val="20"/>
              </w:rPr>
              <w:t>Objective 1c (Page 14)</w:t>
            </w:r>
          </w:p>
        </w:tc>
        <w:tc>
          <w:tcPr>
            <w:tcW w:w="7380" w:type="dxa"/>
          </w:tcPr>
          <w:p w14:paraId="037D145D" w14:textId="221BF219" w:rsidR="004618C0" w:rsidRDefault="004618C0" w:rsidP="00742D69">
            <w:pPr>
              <w:rPr>
                <w:sz w:val="20"/>
                <w:szCs w:val="20"/>
              </w:rPr>
            </w:pPr>
            <w:r>
              <w:rPr>
                <w:sz w:val="20"/>
                <w:szCs w:val="20"/>
              </w:rPr>
              <w:t xml:space="preserve">While the narrative of Objective 1c clearly calls out the disparity in health IT infrastructure for community-based organizations, the strategies for the objective do not adequately address the investment needed to modernize the health IT infrastructure for these stakeholders and fully integrate them into the care continuum. Improved “access to technology” is important not only for patients but also for community service providers as a key pre-requisite to the secure exchange of data and improved care. </w:t>
            </w:r>
          </w:p>
        </w:tc>
      </w:tr>
      <w:tr w:rsidR="004618C0" w14:paraId="0BE8A506" w14:textId="77777777" w:rsidTr="004618C0">
        <w:tc>
          <w:tcPr>
            <w:tcW w:w="1705" w:type="dxa"/>
          </w:tcPr>
          <w:p w14:paraId="661B7F6F" w14:textId="12D88878" w:rsidR="004618C0" w:rsidRPr="0030527D" w:rsidRDefault="004618C0" w:rsidP="00742D69">
            <w:pPr>
              <w:rPr>
                <w:sz w:val="20"/>
                <w:szCs w:val="20"/>
              </w:rPr>
            </w:pPr>
            <w:r w:rsidRPr="00136C03">
              <w:rPr>
                <w:sz w:val="20"/>
                <w:szCs w:val="20"/>
              </w:rPr>
              <w:t>Objective 1c (Page 14)</w:t>
            </w:r>
          </w:p>
        </w:tc>
        <w:tc>
          <w:tcPr>
            <w:tcW w:w="7380" w:type="dxa"/>
          </w:tcPr>
          <w:p w14:paraId="126D7330" w14:textId="458DC7B8" w:rsidR="004618C0" w:rsidRPr="0030527D" w:rsidRDefault="004618C0" w:rsidP="00742D69">
            <w:pPr>
              <w:rPr>
                <w:sz w:val="20"/>
                <w:szCs w:val="20"/>
              </w:rPr>
            </w:pPr>
            <w:r>
              <w:rPr>
                <w:sz w:val="20"/>
                <w:szCs w:val="20"/>
              </w:rPr>
              <w:t xml:space="preserve">An additional strategy to meet Objective 1c is to </w:t>
            </w:r>
            <w:r w:rsidRPr="00255C23">
              <w:rPr>
                <w:sz w:val="20"/>
                <w:szCs w:val="20"/>
              </w:rPr>
              <w:t>encourage and promote partnerships and communication between eligible providers</w:t>
            </w:r>
            <w:r>
              <w:rPr>
                <w:sz w:val="20"/>
                <w:szCs w:val="20"/>
              </w:rPr>
              <w:t>/</w:t>
            </w:r>
            <w:r w:rsidRPr="00255C23">
              <w:rPr>
                <w:sz w:val="20"/>
                <w:szCs w:val="20"/>
              </w:rPr>
              <w:t>hospitals</w:t>
            </w:r>
            <w:r>
              <w:rPr>
                <w:sz w:val="20"/>
                <w:szCs w:val="20"/>
              </w:rPr>
              <w:t>,</w:t>
            </w:r>
            <w:r w:rsidRPr="00255C23">
              <w:rPr>
                <w:sz w:val="20"/>
                <w:szCs w:val="20"/>
              </w:rPr>
              <w:t xml:space="preserve"> local </w:t>
            </w:r>
            <w:r>
              <w:rPr>
                <w:sz w:val="20"/>
                <w:szCs w:val="20"/>
              </w:rPr>
              <w:t xml:space="preserve">and </w:t>
            </w:r>
            <w:r w:rsidRPr="00255C23">
              <w:rPr>
                <w:sz w:val="20"/>
                <w:szCs w:val="20"/>
              </w:rPr>
              <w:t>state agencies and community</w:t>
            </w:r>
            <w:r>
              <w:rPr>
                <w:sz w:val="20"/>
                <w:szCs w:val="20"/>
              </w:rPr>
              <w:t>-</w:t>
            </w:r>
            <w:r w:rsidRPr="00255C23">
              <w:rPr>
                <w:sz w:val="20"/>
                <w:szCs w:val="20"/>
              </w:rPr>
              <w:t xml:space="preserve">based and </w:t>
            </w:r>
            <w:r>
              <w:rPr>
                <w:sz w:val="20"/>
                <w:szCs w:val="20"/>
              </w:rPr>
              <w:t>LTSS providers</w:t>
            </w:r>
            <w:r w:rsidRPr="00255C23">
              <w:rPr>
                <w:sz w:val="20"/>
                <w:szCs w:val="20"/>
              </w:rPr>
              <w:t xml:space="preserve"> to </w:t>
            </w:r>
            <w:r w:rsidR="00414849">
              <w:rPr>
                <w:sz w:val="20"/>
                <w:szCs w:val="20"/>
              </w:rPr>
              <w:t xml:space="preserve">establish </w:t>
            </w:r>
            <w:r w:rsidRPr="00255C23">
              <w:rPr>
                <w:sz w:val="20"/>
                <w:szCs w:val="20"/>
              </w:rPr>
              <w:t xml:space="preserve">paths forward to develop </w:t>
            </w:r>
            <w:r>
              <w:rPr>
                <w:sz w:val="20"/>
                <w:szCs w:val="20"/>
              </w:rPr>
              <w:t>the</w:t>
            </w:r>
            <w:r w:rsidR="008F7225">
              <w:rPr>
                <w:sz w:val="20"/>
                <w:szCs w:val="20"/>
              </w:rPr>
              <w:t xml:space="preserve"> community’s</w:t>
            </w:r>
            <w:r>
              <w:rPr>
                <w:sz w:val="20"/>
                <w:szCs w:val="20"/>
              </w:rPr>
              <w:t xml:space="preserve"> health IT </w:t>
            </w:r>
            <w:r w:rsidRPr="00255C23">
              <w:rPr>
                <w:sz w:val="20"/>
                <w:szCs w:val="20"/>
              </w:rPr>
              <w:t xml:space="preserve">infrastructure and promote </w:t>
            </w:r>
            <w:r w:rsidR="004A0D9C">
              <w:rPr>
                <w:sz w:val="20"/>
                <w:szCs w:val="20"/>
              </w:rPr>
              <w:t xml:space="preserve">the </w:t>
            </w:r>
            <w:r w:rsidRPr="00255C23">
              <w:rPr>
                <w:sz w:val="20"/>
                <w:szCs w:val="20"/>
              </w:rPr>
              <w:t>exchange</w:t>
            </w:r>
            <w:r w:rsidR="004A0D9C">
              <w:rPr>
                <w:sz w:val="20"/>
                <w:szCs w:val="20"/>
              </w:rPr>
              <w:t xml:space="preserve"> of</w:t>
            </w:r>
            <w:r w:rsidRPr="00255C23">
              <w:rPr>
                <w:sz w:val="20"/>
                <w:szCs w:val="20"/>
              </w:rPr>
              <w:t xml:space="preserve"> data using existing and emerging standards</w:t>
            </w:r>
            <w:r>
              <w:rPr>
                <w:sz w:val="20"/>
                <w:szCs w:val="20"/>
              </w:rPr>
              <w:t>.</w:t>
            </w:r>
          </w:p>
        </w:tc>
      </w:tr>
      <w:tr w:rsidR="004618C0" w14:paraId="7DAFD29F" w14:textId="77777777" w:rsidTr="004618C0">
        <w:trPr>
          <w:cnfStyle w:val="000000100000" w:firstRow="0" w:lastRow="0" w:firstColumn="0" w:lastColumn="0" w:oddVBand="0" w:evenVBand="0" w:oddHBand="1" w:evenHBand="0" w:firstRowFirstColumn="0" w:firstRowLastColumn="0" w:lastRowFirstColumn="0" w:lastRowLastColumn="0"/>
        </w:trPr>
        <w:tc>
          <w:tcPr>
            <w:tcW w:w="1705" w:type="dxa"/>
          </w:tcPr>
          <w:p w14:paraId="7158FE8A" w14:textId="291B2EA0" w:rsidR="004618C0" w:rsidRPr="00136C03" w:rsidRDefault="004618C0" w:rsidP="00742D69">
            <w:pPr>
              <w:rPr>
                <w:sz w:val="20"/>
                <w:szCs w:val="20"/>
              </w:rPr>
            </w:pPr>
            <w:r w:rsidRPr="00136C03">
              <w:rPr>
                <w:sz w:val="20"/>
                <w:szCs w:val="20"/>
              </w:rPr>
              <w:t>Objective 1c (Page 14)</w:t>
            </w:r>
          </w:p>
        </w:tc>
        <w:tc>
          <w:tcPr>
            <w:tcW w:w="7380" w:type="dxa"/>
          </w:tcPr>
          <w:p w14:paraId="2AF11498" w14:textId="469CA1C7" w:rsidR="004618C0" w:rsidRDefault="004618C0" w:rsidP="00742D69">
            <w:pPr>
              <w:pStyle w:val="Default"/>
              <w:rPr>
                <w:sz w:val="20"/>
                <w:szCs w:val="20"/>
              </w:rPr>
            </w:pPr>
            <w:r>
              <w:rPr>
                <w:sz w:val="20"/>
                <w:szCs w:val="20"/>
              </w:rPr>
              <w:t xml:space="preserve">We appreciate the emphasis on addressing the social determinants of health as a vital part of maintaining healthy individuals and populations. </w:t>
            </w:r>
          </w:p>
        </w:tc>
      </w:tr>
      <w:tr w:rsidR="004618C0" w14:paraId="516907E8" w14:textId="77777777" w:rsidTr="004618C0">
        <w:tc>
          <w:tcPr>
            <w:tcW w:w="1705" w:type="dxa"/>
          </w:tcPr>
          <w:p w14:paraId="02310FD2" w14:textId="3C266C72" w:rsidR="004618C0" w:rsidRPr="0030527D" w:rsidRDefault="004618C0" w:rsidP="00742D69">
            <w:pPr>
              <w:rPr>
                <w:sz w:val="20"/>
                <w:szCs w:val="20"/>
              </w:rPr>
            </w:pPr>
            <w:r w:rsidRPr="00136C03">
              <w:rPr>
                <w:sz w:val="20"/>
                <w:szCs w:val="20"/>
              </w:rPr>
              <w:t>Objective 1c (Page 14)</w:t>
            </w:r>
          </w:p>
        </w:tc>
        <w:tc>
          <w:tcPr>
            <w:tcW w:w="7380" w:type="dxa"/>
          </w:tcPr>
          <w:p w14:paraId="2A6074AE" w14:textId="34DD57A7" w:rsidR="004618C0" w:rsidRPr="003B670E" w:rsidRDefault="004618C0" w:rsidP="00742D69">
            <w:pPr>
              <w:pStyle w:val="Default"/>
              <w:rPr>
                <w:rFonts w:asciiTheme="minorHAnsi" w:hAnsiTheme="minorHAnsi" w:cstheme="minorBidi"/>
                <w:color w:val="auto"/>
                <w:sz w:val="20"/>
                <w:szCs w:val="20"/>
              </w:rPr>
            </w:pPr>
            <w:r>
              <w:rPr>
                <w:sz w:val="20"/>
                <w:szCs w:val="20"/>
              </w:rPr>
              <w:t>We want to applaud the efforts of the ONC to expand the standards available in t</w:t>
            </w:r>
            <w:r w:rsidRPr="00DD372B">
              <w:rPr>
                <w:rFonts w:asciiTheme="minorHAnsi" w:hAnsiTheme="minorHAnsi" w:cstheme="minorBidi"/>
                <w:sz w:val="20"/>
                <w:szCs w:val="20"/>
              </w:rPr>
              <w:t xml:space="preserve">he area of </w:t>
            </w:r>
            <w:r w:rsidR="004A0D9C">
              <w:rPr>
                <w:rFonts w:asciiTheme="minorHAnsi" w:hAnsiTheme="minorHAnsi" w:cstheme="minorBidi"/>
                <w:sz w:val="20"/>
                <w:szCs w:val="20"/>
              </w:rPr>
              <w:t>LTSS</w:t>
            </w:r>
            <w:r w:rsidRPr="00DD372B">
              <w:rPr>
                <w:rFonts w:asciiTheme="minorHAnsi" w:hAnsiTheme="minorHAnsi" w:cstheme="minorBidi"/>
                <w:sz w:val="20"/>
                <w:szCs w:val="20"/>
              </w:rPr>
              <w:t xml:space="preserve"> and community</w:t>
            </w:r>
            <w:r>
              <w:rPr>
                <w:sz w:val="20"/>
                <w:szCs w:val="20"/>
              </w:rPr>
              <w:t>-</w:t>
            </w:r>
            <w:r w:rsidRPr="00DD372B">
              <w:rPr>
                <w:rFonts w:asciiTheme="minorHAnsi" w:hAnsiTheme="minorHAnsi" w:cstheme="minorBidi"/>
                <w:sz w:val="20"/>
                <w:szCs w:val="20"/>
              </w:rPr>
              <w:t>based care and encourage additional</w:t>
            </w:r>
            <w:r w:rsidR="008D2939">
              <w:rPr>
                <w:rFonts w:asciiTheme="minorHAnsi" w:hAnsiTheme="minorHAnsi" w:cstheme="minorBidi"/>
                <w:sz w:val="20"/>
                <w:szCs w:val="20"/>
              </w:rPr>
              <w:t xml:space="preserve"> resource</w:t>
            </w:r>
            <w:r w:rsidRPr="00DD372B">
              <w:rPr>
                <w:rFonts w:asciiTheme="minorHAnsi" w:hAnsiTheme="minorHAnsi" w:cstheme="minorBidi"/>
                <w:sz w:val="20"/>
                <w:szCs w:val="20"/>
              </w:rPr>
              <w:t xml:space="preserve"> investment and piloting opportunities in the</w:t>
            </w:r>
            <w:r>
              <w:rPr>
                <w:sz w:val="20"/>
                <w:szCs w:val="20"/>
              </w:rPr>
              <w:t>se</w:t>
            </w:r>
            <w:r w:rsidRPr="00DD372B">
              <w:rPr>
                <w:rFonts w:asciiTheme="minorHAnsi" w:hAnsiTheme="minorHAnsi" w:cstheme="minorBidi"/>
                <w:sz w:val="20"/>
                <w:szCs w:val="20"/>
              </w:rPr>
              <w:t xml:space="preserve"> area</w:t>
            </w:r>
            <w:r>
              <w:rPr>
                <w:sz w:val="20"/>
                <w:szCs w:val="20"/>
              </w:rPr>
              <w:t>s.</w:t>
            </w:r>
          </w:p>
        </w:tc>
      </w:tr>
      <w:tr w:rsidR="004618C0" w14:paraId="4863F5EA" w14:textId="77777777" w:rsidTr="004618C0">
        <w:trPr>
          <w:cnfStyle w:val="000000100000" w:firstRow="0" w:lastRow="0" w:firstColumn="0" w:lastColumn="0" w:oddVBand="0" w:evenVBand="0" w:oddHBand="1" w:evenHBand="0" w:firstRowFirstColumn="0" w:firstRowLastColumn="0" w:lastRowFirstColumn="0" w:lastRowLastColumn="0"/>
        </w:trPr>
        <w:tc>
          <w:tcPr>
            <w:tcW w:w="1705" w:type="dxa"/>
          </w:tcPr>
          <w:p w14:paraId="0604CFBD" w14:textId="3F053BB9" w:rsidR="004618C0" w:rsidRDefault="004618C0" w:rsidP="00742D69">
            <w:pPr>
              <w:rPr>
                <w:sz w:val="20"/>
                <w:szCs w:val="20"/>
              </w:rPr>
            </w:pPr>
            <w:r>
              <w:rPr>
                <w:sz w:val="20"/>
                <w:szCs w:val="20"/>
              </w:rPr>
              <w:t>Objective 2a (Page 15)</w:t>
            </w:r>
          </w:p>
        </w:tc>
        <w:tc>
          <w:tcPr>
            <w:tcW w:w="7380" w:type="dxa"/>
          </w:tcPr>
          <w:p w14:paraId="4612556C" w14:textId="3C516151" w:rsidR="004618C0" w:rsidRDefault="004618C0" w:rsidP="00742D69">
            <w:pPr>
              <w:pStyle w:val="Default"/>
              <w:rPr>
                <w:rFonts w:asciiTheme="minorHAnsi" w:hAnsiTheme="minorHAnsi" w:cstheme="minorBidi"/>
                <w:color w:val="auto"/>
                <w:sz w:val="20"/>
                <w:szCs w:val="20"/>
              </w:rPr>
            </w:pPr>
            <w:r>
              <w:rPr>
                <w:rFonts w:asciiTheme="minorHAnsi" w:hAnsiTheme="minorHAnsi" w:cstheme="minorBidi"/>
                <w:color w:val="auto"/>
                <w:sz w:val="20"/>
                <w:szCs w:val="20"/>
              </w:rPr>
              <w:t>The important role that public health plays in providing individual care should be emphasized in this section. Public health programs play a daily role in providing care and services to individuals as well as being crucial in times of emergencies and disasters. The ability of these programs to provide this critical care is dependent on ready access to clinical data through the health IT infrastructure.</w:t>
            </w:r>
          </w:p>
        </w:tc>
      </w:tr>
      <w:tr w:rsidR="004618C0" w14:paraId="5413658A" w14:textId="77777777" w:rsidTr="004618C0">
        <w:tc>
          <w:tcPr>
            <w:tcW w:w="1705" w:type="dxa"/>
          </w:tcPr>
          <w:p w14:paraId="066DA119" w14:textId="06C42C9E" w:rsidR="004618C0" w:rsidRPr="0030527D" w:rsidRDefault="004618C0" w:rsidP="00742D69">
            <w:pPr>
              <w:rPr>
                <w:sz w:val="20"/>
                <w:szCs w:val="20"/>
              </w:rPr>
            </w:pPr>
            <w:r>
              <w:rPr>
                <w:sz w:val="20"/>
                <w:szCs w:val="20"/>
              </w:rPr>
              <w:t>Objective 2c (Page 16)</w:t>
            </w:r>
          </w:p>
        </w:tc>
        <w:tc>
          <w:tcPr>
            <w:tcW w:w="7380" w:type="dxa"/>
          </w:tcPr>
          <w:p w14:paraId="0D616007" w14:textId="5C1BB5FA" w:rsidR="004618C0" w:rsidRPr="003B670E" w:rsidRDefault="004618C0" w:rsidP="00742D69">
            <w:pPr>
              <w:pStyle w:val="Default"/>
              <w:rPr>
                <w:rFonts w:asciiTheme="minorHAnsi" w:hAnsiTheme="minorHAnsi" w:cstheme="minorBidi"/>
                <w:color w:val="auto"/>
                <w:sz w:val="20"/>
                <w:szCs w:val="20"/>
              </w:rPr>
            </w:pPr>
            <w:r>
              <w:rPr>
                <w:rFonts w:asciiTheme="minorHAnsi" w:hAnsiTheme="minorHAnsi" w:cstheme="minorBidi"/>
                <w:color w:val="auto"/>
                <w:sz w:val="20"/>
                <w:szCs w:val="20"/>
              </w:rPr>
              <w:t>We are concerned about the perception that public health report</w:t>
            </w:r>
            <w:r w:rsidR="00AF1E76">
              <w:rPr>
                <w:rFonts w:asciiTheme="minorHAnsi" w:hAnsiTheme="minorHAnsi" w:cstheme="minorBidi"/>
                <w:color w:val="auto"/>
                <w:sz w:val="20"/>
                <w:szCs w:val="20"/>
              </w:rPr>
              <w:t>ing</w:t>
            </w:r>
            <w:r>
              <w:rPr>
                <w:rFonts w:asciiTheme="minorHAnsi" w:hAnsiTheme="minorHAnsi" w:cstheme="minorBidi"/>
                <w:color w:val="auto"/>
                <w:sz w:val="20"/>
                <w:szCs w:val="20"/>
              </w:rPr>
              <w:t xml:space="preserve"> and data submission to clinical registries </w:t>
            </w:r>
            <w:r w:rsidR="00AF1E76">
              <w:rPr>
                <w:rFonts w:asciiTheme="minorHAnsi" w:hAnsiTheme="minorHAnsi" w:cstheme="minorBidi"/>
                <w:color w:val="auto"/>
                <w:sz w:val="20"/>
                <w:szCs w:val="20"/>
              </w:rPr>
              <w:t>are</w:t>
            </w:r>
            <w:r>
              <w:rPr>
                <w:rFonts w:asciiTheme="minorHAnsi" w:hAnsiTheme="minorHAnsi" w:cstheme="minorBidi"/>
                <w:color w:val="auto"/>
                <w:sz w:val="20"/>
                <w:szCs w:val="20"/>
              </w:rPr>
              <w:t xml:space="preserve"> a burden on providers. We strongly agree that provider workflows must be streamlined to minimize any additional </w:t>
            </w:r>
            <w:r w:rsidR="000628C4">
              <w:rPr>
                <w:rFonts w:asciiTheme="minorHAnsi" w:hAnsiTheme="minorHAnsi" w:cstheme="minorBidi"/>
                <w:color w:val="auto"/>
                <w:sz w:val="20"/>
                <w:szCs w:val="20"/>
              </w:rPr>
              <w:t>effort</w:t>
            </w:r>
            <w:r>
              <w:rPr>
                <w:rFonts w:asciiTheme="minorHAnsi" w:hAnsiTheme="minorHAnsi" w:cstheme="minorBidi"/>
                <w:color w:val="auto"/>
                <w:sz w:val="20"/>
                <w:szCs w:val="20"/>
              </w:rPr>
              <w:t xml:space="preserve"> associated with public health reporting</w:t>
            </w:r>
            <w:r w:rsidR="000628C4">
              <w:rPr>
                <w:rFonts w:asciiTheme="minorHAnsi" w:hAnsiTheme="minorHAnsi" w:cstheme="minorBidi"/>
                <w:color w:val="auto"/>
                <w:sz w:val="20"/>
                <w:szCs w:val="20"/>
              </w:rPr>
              <w:t xml:space="preserve">. But </w:t>
            </w:r>
            <w:r>
              <w:rPr>
                <w:rFonts w:asciiTheme="minorHAnsi" w:hAnsiTheme="minorHAnsi" w:cstheme="minorBidi"/>
                <w:color w:val="auto"/>
                <w:sz w:val="20"/>
                <w:szCs w:val="20"/>
              </w:rPr>
              <w:t>it is also important that the activities of public health stakeholders are transparent and that health care providers understand the return on investment they receive in the form of clinical decision support, improv</w:t>
            </w:r>
            <w:r w:rsidR="0050740A">
              <w:rPr>
                <w:rFonts w:asciiTheme="minorHAnsi" w:hAnsiTheme="minorHAnsi" w:cstheme="minorBidi"/>
                <w:color w:val="auto"/>
                <w:sz w:val="20"/>
                <w:szCs w:val="20"/>
              </w:rPr>
              <w:t>ed</w:t>
            </w:r>
            <w:r>
              <w:rPr>
                <w:rFonts w:asciiTheme="minorHAnsi" w:hAnsiTheme="minorHAnsi" w:cstheme="minorBidi"/>
                <w:color w:val="auto"/>
                <w:sz w:val="20"/>
                <w:szCs w:val="20"/>
              </w:rPr>
              <w:t xml:space="preserve"> population health, provision of human services and point of care </w:t>
            </w:r>
            <w:r w:rsidR="0050740A">
              <w:rPr>
                <w:rFonts w:asciiTheme="minorHAnsi" w:hAnsiTheme="minorHAnsi" w:cstheme="minorBidi"/>
                <w:color w:val="auto"/>
                <w:sz w:val="20"/>
                <w:szCs w:val="20"/>
              </w:rPr>
              <w:t>advancements</w:t>
            </w:r>
            <w:r>
              <w:rPr>
                <w:rFonts w:asciiTheme="minorHAnsi" w:hAnsiTheme="minorHAnsi" w:cstheme="minorBidi"/>
                <w:color w:val="auto"/>
                <w:sz w:val="20"/>
                <w:szCs w:val="20"/>
              </w:rPr>
              <w:t xml:space="preserve"> by participating in public health reporting and population-level data collection.</w:t>
            </w:r>
          </w:p>
        </w:tc>
      </w:tr>
      <w:tr w:rsidR="004618C0" w14:paraId="06055369" w14:textId="77777777" w:rsidTr="004618C0">
        <w:trPr>
          <w:cnfStyle w:val="000000100000" w:firstRow="0" w:lastRow="0" w:firstColumn="0" w:lastColumn="0" w:oddVBand="0" w:evenVBand="0" w:oddHBand="1" w:evenHBand="0" w:firstRowFirstColumn="0" w:firstRowLastColumn="0" w:lastRowFirstColumn="0" w:lastRowLastColumn="0"/>
        </w:trPr>
        <w:tc>
          <w:tcPr>
            <w:tcW w:w="1705" w:type="dxa"/>
          </w:tcPr>
          <w:p w14:paraId="35DEA2E4" w14:textId="55ACC821" w:rsidR="004618C0" w:rsidRDefault="004618C0" w:rsidP="00742D69">
            <w:pPr>
              <w:rPr>
                <w:sz w:val="20"/>
                <w:szCs w:val="20"/>
              </w:rPr>
            </w:pPr>
            <w:r>
              <w:rPr>
                <w:sz w:val="20"/>
                <w:szCs w:val="20"/>
              </w:rPr>
              <w:t>Goal 3 (Page 17)</w:t>
            </w:r>
          </w:p>
        </w:tc>
        <w:tc>
          <w:tcPr>
            <w:tcW w:w="7380" w:type="dxa"/>
          </w:tcPr>
          <w:p w14:paraId="7A03FCC7" w14:textId="4E3B17C7" w:rsidR="004618C0" w:rsidRPr="003B670E" w:rsidRDefault="004618C0" w:rsidP="00742D69">
            <w:pPr>
              <w:rPr>
                <w:sz w:val="20"/>
                <w:szCs w:val="20"/>
              </w:rPr>
            </w:pPr>
            <w:r>
              <w:rPr>
                <w:sz w:val="20"/>
                <w:szCs w:val="20"/>
              </w:rPr>
              <w:t>The role of public health in promoting research and innovation should be acknowledged in this goal. By collecting population-level data, public health is a key player in identifying trends and relationships with</w:t>
            </w:r>
            <w:r w:rsidR="00C46040">
              <w:rPr>
                <w:sz w:val="20"/>
                <w:szCs w:val="20"/>
              </w:rPr>
              <w:t>in</w:t>
            </w:r>
            <w:r>
              <w:rPr>
                <w:sz w:val="20"/>
                <w:szCs w:val="20"/>
              </w:rPr>
              <w:t xml:space="preserve"> large data sets and feeding those interpretations back to providers as point of care improvements.</w:t>
            </w:r>
          </w:p>
        </w:tc>
      </w:tr>
      <w:tr w:rsidR="002A300D" w14:paraId="08D5B905" w14:textId="77777777" w:rsidTr="004618C0">
        <w:tc>
          <w:tcPr>
            <w:tcW w:w="1705" w:type="dxa"/>
          </w:tcPr>
          <w:p w14:paraId="033C6B7A" w14:textId="04DDA084" w:rsidR="002A300D" w:rsidRDefault="009C2422" w:rsidP="00742D69">
            <w:pPr>
              <w:rPr>
                <w:sz w:val="20"/>
                <w:szCs w:val="20"/>
              </w:rPr>
            </w:pPr>
            <w:r>
              <w:rPr>
                <w:sz w:val="20"/>
                <w:szCs w:val="20"/>
              </w:rPr>
              <w:t>Objective 4b (Page 19)</w:t>
            </w:r>
          </w:p>
        </w:tc>
        <w:tc>
          <w:tcPr>
            <w:tcW w:w="7380" w:type="dxa"/>
          </w:tcPr>
          <w:p w14:paraId="3FF3D8EC" w14:textId="666507D8" w:rsidR="002A300D" w:rsidRDefault="00BD70FA" w:rsidP="00742D69">
            <w:pPr>
              <w:rPr>
                <w:sz w:val="20"/>
                <w:szCs w:val="20"/>
              </w:rPr>
            </w:pPr>
            <w:r>
              <w:rPr>
                <w:sz w:val="20"/>
                <w:szCs w:val="20"/>
              </w:rPr>
              <w:t xml:space="preserve">With respect to the strategy to develop resources and communication plans to help achieve Objective 4b, we </w:t>
            </w:r>
            <w:r w:rsidR="00D72677">
              <w:rPr>
                <w:sz w:val="20"/>
                <w:szCs w:val="20"/>
              </w:rPr>
              <w:t xml:space="preserve">suggest a review of the </w:t>
            </w:r>
            <w:hyperlink r:id="rId11" w:history="1">
              <w:r w:rsidR="00D72677" w:rsidRPr="00FA78A3">
                <w:rPr>
                  <w:rStyle w:val="Hyperlink"/>
                  <w:sz w:val="20"/>
                  <w:szCs w:val="20"/>
                </w:rPr>
                <w:t>Protected Health Information Consent Tool</w:t>
              </w:r>
            </w:hyperlink>
            <w:r w:rsidR="00D72677">
              <w:rPr>
                <w:sz w:val="20"/>
                <w:szCs w:val="20"/>
              </w:rPr>
              <w:t xml:space="preserve"> provided by the state of Michigan</w:t>
            </w:r>
            <w:r w:rsidR="00E8673D">
              <w:rPr>
                <w:sz w:val="20"/>
                <w:szCs w:val="20"/>
              </w:rPr>
              <w:t xml:space="preserve">. This tool can be used by clinicians, providers and payers to better understand and </w:t>
            </w:r>
            <w:r w:rsidR="00503F25">
              <w:rPr>
                <w:sz w:val="20"/>
                <w:szCs w:val="20"/>
              </w:rPr>
              <w:t xml:space="preserve">comply with the laws surrounding health care data exchange. </w:t>
            </w:r>
            <w:r w:rsidR="00F556D4">
              <w:rPr>
                <w:sz w:val="20"/>
                <w:szCs w:val="20"/>
              </w:rPr>
              <w:t xml:space="preserve">The development of similar tools </w:t>
            </w:r>
            <w:r w:rsidR="00366627">
              <w:rPr>
                <w:sz w:val="20"/>
                <w:szCs w:val="20"/>
              </w:rPr>
              <w:t>at the national or state levels may be helpful in achieving this objective.</w:t>
            </w:r>
          </w:p>
        </w:tc>
      </w:tr>
      <w:tr w:rsidR="004618C0" w14:paraId="016D510D" w14:textId="77777777" w:rsidTr="004618C0">
        <w:trPr>
          <w:cnfStyle w:val="000000100000" w:firstRow="0" w:lastRow="0" w:firstColumn="0" w:lastColumn="0" w:oddVBand="0" w:evenVBand="0" w:oddHBand="1" w:evenHBand="0" w:firstRowFirstColumn="0" w:firstRowLastColumn="0" w:lastRowFirstColumn="0" w:lastRowLastColumn="0"/>
        </w:trPr>
        <w:tc>
          <w:tcPr>
            <w:tcW w:w="1705" w:type="dxa"/>
          </w:tcPr>
          <w:p w14:paraId="5B0811A7" w14:textId="6F8BB405" w:rsidR="004618C0" w:rsidRPr="0030527D" w:rsidRDefault="004618C0" w:rsidP="00742D69">
            <w:pPr>
              <w:rPr>
                <w:sz w:val="20"/>
                <w:szCs w:val="20"/>
              </w:rPr>
            </w:pPr>
            <w:r>
              <w:rPr>
                <w:sz w:val="20"/>
                <w:szCs w:val="20"/>
              </w:rPr>
              <w:lastRenderedPageBreak/>
              <w:t>Appendix A (Page 21) and Appendix B (Page 22)</w:t>
            </w:r>
          </w:p>
        </w:tc>
        <w:tc>
          <w:tcPr>
            <w:tcW w:w="7380" w:type="dxa"/>
          </w:tcPr>
          <w:p w14:paraId="4A305430" w14:textId="5B1145FF" w:rsidR="004618C0" w:rsidRPr="003B670E" w:rsidRDefault="004618C0" w:rsidP="00742D69">
            <w:pPr>
              <w:rPr>
                <w:sz w:val="20"/>
                <w:szCs w:val="20"/>
              </w:rPr>
            </w:pPr>
            <w:r>
              <w:rPr>
                <w:sz w:val="20"/>
                <w:szCs w:val="20"/>
              </w:rPr>
              <w:t>We suggest including public health and community-based support</w:t>
            </w:r>
            <w:r w:rsidR="00C46040">
              <w:rPr>
                <w:sz w:val="20"/>
                <w:szCs w:val="20"/>
              </w:rPr>
              <w:t xml:space="preserve"> and LTSS</w:t>
            </w:r>
            <w:r>
              <w:rPr>
                <w:sz w:val="20"/>
                <w:szCs w:val="20"/>
              </w:rPr>
              <w:t xml:space="preserve"> providers to be included in the list of stakeholders considered by the Plan. The awareness of these constituents must be elevated if we are to build health IT across the whole care continuum. </w:t>
            </w:r>
          </w:p>
        </w:tc>
      </w:tr>
    </w:tbl>
    <w:p w14:paraId="77C16A1B" w14:textId="3A0EF87F" w:rsidR="00B36D3B" w:rsidRDefault="00B36D3B" w:rsidP="0F1D31FC"/>
    <w:sectPr w:rsidR="00B36D3B" w:rsidSect="00761AA9">
      <w:headerReference w:type="default" r:id="rId12"/>
      <w:footerReference w:type="default" r:id="rId13"/>
      <w:pgSz w:w="12240" w:h="15840"/>
      <w:pgMar w:top="1440" w:right="1440" w:bottom="1440" w:left="1440" w:header="720" w:footer="63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930D5" w14:textId="77777777" w:rsidR="00162289" w:rsidRDefault="00162289" w:rsidP="003D437A">
      <w:pPr>
        <w:spacing w:after="0" w:line="240" w:lineRule="auto"/>
      </w:pPr>
      <w:r>
        <w:separator/>
      </w:r>
    </w:p>
  </w:endnote>
  <w:endnote w:type="continuationSeparator" w:id="0">
    <w:p w14:paraId="47357B0A" w14:textId="77777777" w:rsidR="00162289" w:rsidRDefault="00162289" w:rsidP="003D437A">
      <w:pPr>
        <w:spacing w:after="0" w:line="240" w:lineRule="auto"/>
      </w:pPr>
      <w:r>
        <w:continuationSeparator/>
      </w:r>
    </w:p>
  </w:endnote>
  <w:endnote w:type="continuationNotice" w:id="1">
    <w:p w14:paraId="3D2C3B0A" w14:textId="77777777" w:rsidR="00162289" w:rsidRDefault="001622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C08A" w14:textId="7DA92C52" w:rsidR="00120E77" w:rsidRDefault="00120E77" w:rsidP="0065069A">
    <w:pPr>
      <w:pStyle w:val="Footer"/>
      <w:pBdr>
        <w:top w:val="single" w:sz="4" w:space="0" w:color="D9D9D9" w:themeColor="background1" w:themeShade="D9"/>
      </w:pBdr>
    </w:pPr>
    <w:r>
      <w:t>3520 Green Court, Suite 300</w:t>
    </w:r>
    <w:r>
      <w:tab/>
    </w:r>
    <w:r>
      <w:tab/>
      <w:t xml:space="preserve">Page | </w:t>
    </w:r>
    <w:sdt>
      <w:sdtPr>
        <w:id w:val="129440700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846A37">
          <w:rPr>
            <w:noProof/>
          </w:rPr>
          <w:t>1</w:t>
        </w:r>
        <w:r>
          <w:rPr>
            <w:noProof/>
          </w:rPr>
          <w:fldChar w:fldCharType="end"/>
        </w:r>
        <w:r>
          <w:t xml:space="preserve"> </w:t>
        </w:r>
      </w:sdtContent>
    </w:sdt>
  </w:p>
  <w:p w14:paraId="42B3D7A0" w14:textId="0944C59F" w:rsidR="00120E77" w:rsidRDefault="00120E77" w:rsidP="00DF4D85">
    <w:pPr>
      <w:pStyle w:val="Footer"/>
    </w:pPr>
    <w:r>
      <w:t>Ann Arbor, MI 48105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2DA50" w14:textId="77777777" w:rsidR="00162289" w:rsidRDefault="00162289" w:rsidP="003D437A">
      <w:pPr>
        <w:spacing w:after="0" w:line="240" w:lineRule="auto"/>
      </w:pPr>
      <w:r>
        <w:separator/>
      </w:r>
    </w:p>
  </w:footnote>
  <w:footnote w:type="continuationSeparator" w:id="0">
    <w:p w14:paraId="779AE256" w14:textId="77777777" w:rsidR="00162289" w:rsidRDefault="00162289" w:rsidP="003D437A">
      <w:pPr>
        <w:spacing w:after="0" w:line="240" w:lineRule="auto"/>
      </w:pPr>
      <w:r>
        <w:continuationSeparator/>
      </w:r>
    </w:p>
  </w:footnote>
  <w:footnote w:type="continuationNotice" w:id="1">
    <w:p w14:paraId="2B1FCAFD" w14:textId="77777777" w:rsidR="00162289" w:rsidRDefault="001622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767E4" w14:textId="77777777" w:rsidR="00120E77" w:rsidRDefault="00120E77">
    <w:pPr>
      <w:pStyle w:val="Header"/>
    </w:pPr>
    <w:r>
      <w:rPr>
        <w:noProof/>
      </w:rPr>
      <w:drawing>
        <wp:anchor distT="0" distB="0" distL="114300" distR="114300" simplePos="0" relativeHeight="251658240" behindDoc="0" locked="0" layoutInCell="1" allowOverlap="1" wp14:anchorId="108B4DAB" wp14:editId="4B2F63E7">
          <wp:simplePos x="0" y="0"/>
          <wp:positionH relativeFrom="margin">
            <wp:align>left</wp:align>
          </wp:positionH>
          <wp:positionV relativeFrom="topMargin">
            <wp:align>bottom</wp:align>
          </wp:positionV>
          <wp:extent cx="2095500" cy="532765"/>
          <wp:effectExtent l="0" t="0" r="0" b="635"/>
          <wp:wrapSquare wrapText="bothSides"/>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tarum_logo_3.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5327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210DF"/>
    <w:multiLevelType w:val="hybridMultilevel"/>
    <w:tmpl w:val="EC6ECCCE"/>
    <w:lvl w:ilvl="0" w:tplc="829077FA">
      <w:start w:val="1"/>
      <w:numFmt w:val="bullet"/>
      <w:lvlText w:val="•"/>
      <w:lvlJc w:val="left"/>
      <w:pPr>
        <w:tabs>
          <w:tab w:val="num" w:pos="720"/>
        </w:tabs>
        <w:ind w:left="720" w:hanging="360"/>
      </w:pPr>
      <w:rPr>
        <w:rFonts w:ascii="Arial" w:hAnsi="Arial" w:hint="default"/>
      </w:rPr>
    </w:lvl>
    <w:lvl w:ilvl="1" w:tplc="2660ACCC" w:tentative="1">
      <w:start w:val="1"/>
      <w:numFmt w:val="bullet"/>
      <w:lvlText w:val="•"/>
      <w:lvlJc w:val="left"/>
      <w:pPr>
        <w:tabs>
          <w:tab w:val="num" w:pos="1440"/>
        </w:tabs>
        <w:ind w:left="1440" w:hanging="360"/>
      </w:pPr>
      <w:rPr>
        <w:rFonts w:ascii="Arial" w:hAnsi="Arial" w:hint="default"/>
      </w:rPr>
    </w:lvl>
    <w:lvl w:ilvl="2" w:tplc="9F2A7BB8" w:tentative="1">
      <w:start w:val="1"/>
      <w:numFmt w:val="bullet"/>
      <w:lvlText w:val="•"/>
      <w:lvlJc w:val="left"/>
      <w:pPr>
        <w:tabs>
          <w:tab w:val="num" w:pos="2160"/>
        </w:tabs>
        <w:ind w:left="2160" w:hanging="360"/>
      </w:pPr>
      <w:rPr>
        <w:rFonts w:ascii="Arial" w:hAnsi="Arial" w:hint="default"/>
      </w:rPr>
    </w:lvl>
    <w:lvl w:ilvl="3" w:tplc="B79EA3BE" w:tentative="1">
      <w:start w:val="1"/>
      <w:numFmt w:val="bullet"/>
      <w:lvlText w:val="•"/>
      <w:lvlJc w:val="left"/>
      <w:pPr>
        <w:tabs>
          <w:tab w:val="num" w:pos="2880"/>
        </w:tabs>
        <w:ind w:left="2880" w:hanging="360"/>
      </w:pPr>
      <w:rPr>
        <w:rFonts w:ascii="Arial" w:hAnsi="Arial" w:hint="default"/>
      </w:rPr>
    </w:lvl>
    <w:lvl w:ilvl="4" w:tplc="54DA8BB0" w:tentative="1">
      <w:start w:val="1"/>
      <w:numFmt w:val="bullet"/>
      <w:lvlText w:val="•"/>
      <w:lvlJc w:val="left"/>
      <w:pPr>
        <w:tabs>
          <w:tab w:val="num" w:pos="3600"/>
        </w:tabs>
        <w:ind w:left="3600" w:hanging="360"/>
      </w:pPr>
      <w:rPr>
        <w:rFonts w:ascii="Arial" w:hAnsi="Arial" w:hint="default"/>
      </w:rPr>
    </w:lvl>
    <w:lvl w:ilvl="5" w:tplc="7272E334" w:tentative="1">
      <w:start w:val="1"/>
      <w:numFmt w:val="bullet"/>
      <w:lvlText w:val="•"/>
      <w:lvlJc w:val="left"/>
      <w:pPr>
        <w:tabs>
          <w:tab w:val="num" w:pos="4320"/>
        </w:tabs>
        <w:ind w:left="4320" w:hanging="360"/>
      </w:pPr>
      <w:rPr>
        <w:rFonts w:ascii="Arial" w:hAnsi="Arial" w:hint="default"/>
      </w:rPr>
    </w:lvl>
    <w:lvl w:ilvl="6" w:tplc="DE68C374" w:tentative="1">
      <w:start w:val="1"/>
      <w:numFmt w:val="bullet"/>
      <w:lvlText w:val="•"/>
      <w:lvlJc w:val="left"/>
      <w:pPr>
        <w:tabs>
          <w:tab w:val="num" w:pos="5040"/>
        </w:tabs>
        <w:ind w:left="5040" w:hanging="360"/>
      </w:pPr>
      <w:rPr>
        <w:rFonts w:ascii="Arial" w:hAnsi="Arial" w:hint="default"/>
      </w:rPr>
    </w:lvl>
    <w:lvl w:ilvl="7" w:tplc="CBB8F48C" w:tentative="1">
      <w:start w:val="1"/>
      <w:numFmt w:val="bullet"/>
      <w:lvlText w:val="•"/>
      <w:lvlJc w:val="left"/>
      <w:pPr>
        <w:tabs>
          <w:tab w:val="num" w:pos="5760"/>
        </w:tabs>
        <w:ind w:left="5760" w:hanging="360"/>
      </w:pPr>
      <w:rPr>
        <w:rFonts w:ascii="Arial" w:hAnsi="Arial" w:hint="default"/>
      </w:rPr>
    </w:lvl>
    <w:lvl w:ilvl="8" w:tplc="268659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4707FC"/>
    <w:multiLevelType w:val="hybridMultilevel"/>
    <w:tmpl w:val="1722D4F8"/>
    <w:lvl w:ilvl="0" w:tplc="A79815DA">
      <w:start w:val="1"/>
      <w:numFmt w:val="bullet"/>
      <w:lvlText w:val="•"/>
      <w:lvlJc w:val="left"/>
      <w:pPr>
        <w:tabs>
          <w:tab w:val="num" w:pos="720"/>
        </w:tabs>
        <w:ind w:left="720" w:hanging="360"/>
      </w:pPr>
      <w:rPr>
        <w:rFonts w:ascii="Arial" w:hAnsi="Arial" w:hint="default"/>
      </w:rPr>
    </w:lvl>
    <w:lvl w:ilvl="1" w:tplc="94805878" w:tentative="1">
      <w:start w:val="1"/>
      <w:numFmt w:val="bullet"/>
      <w:lvlText w:val="•"/>
      <w:lvlJc w:val="left"/>
      <w:pPr>
        <w:tabs>
          <w:tab w:val="num" w:pos="1440"/>
        </w:tabs>
        <w:ind w:left="1440" w:hanging="360"/>
      </w:pPr>
      <w:rPr>
        <w:rFonts w:ascii="Arial" w:hAnsi="Arial" w:hint="default"/>
      </w:rPr>
    </w:lvl>
    <w:lvl w:ilvl="2" w:tplc="73DEACD6" w:tentative="1">
      <w:start w:val="1"/>
      <w:numFmt w:val="bullet"/>
      <w:lvlText w:val="•"/>
      <w:lvlJc w:val="left"/>
      <w:pPr>
        <w:tabs>
          <w:tab w:val="num" w:pos="2160"/>
        </w:tabs>
        <w:ind w:left="2160" w:hanging="360"/>
      </w:pPr>
      <w:rPr>
        <w:rFonts w:ascii="Arial" w:hAnsi="Arial" w:hint="default"/>
      </w:rPr>
    </w:lvl>
    <w:lvl w:ilvl="3" w:tplc="2BBE6F52" w:tentative="1">
      <w:start w:val="1"/>
      <w:numFmt w:val="bullet"/>
      <w:lvlText w:val="•"/>
      <w:lvlJc w:val="left"/>
      <w:pPr>
        <w:tabs>
          <w:tab w:val="num" w:pos="2880"/>
        </w:tabs>
        <w:ind w:left="2880" w:hanging="360"/>
      </w:pPr>
      <w:rPr>
        <w:rFonts w:ascii="Arial" w:hAnsi="Arial" w:hint="default"/>
      </w:rPr>
    </w:lvl>
    <w:lvl w:ilvl="4" w:tplc="3ACABF12" w:tentative="1">
      <w:start w:val="1"/>
      <w:numFmt w:val="bullet"/>
      <w:lvlText w:val="•"/>
      <w:lvlJc w:val="left"/>
      <w:pPr>
        <w:tabs>
          <w:tab w:val="num" w:pos="3600"/>
        </w:tabs>
        <w:ind w:left="3600" w:hanging="360"/>
      </w:pPr>
      <w:rPr>
        <w:rFonts w:ascii="Arial" w:hAnsi="Arial" w:hint="default"/>
      </w:rPr>
    </w:lvl>
    <w:lvl w:ilvl="5" w:tplc="D0C8398A" w:tentative="1">
      <w:start w:val="1"/>
      <w:numFmt w:val="bullet"/>
      <w:lvlText w:val="•"/>
      <w:lvlJc w:val="left"/>
      <w:pPr>
        <w:tabs>
          <w:tab w:val="num" w:pos="4320"/>
        </w:tabs>
        <w:ind w:left="4320" w:hanging="360"/>
      </w:pPr>
      <w:rPr>
        <w:rFonts w:ascii="Arial" w:hAnsi="Arial" w:hint="default"/>
      </w:rPr>
    </w:lvl>
    <w:lvl w:ilvl="6" w:tplc="BAE2DEDA" w:tentative="1">
      <w:start w:val="1"/>
      <w:numFmt w:val="bullet"/>
      <w:lvlText w:val="•"/>
      <w:lvlJc w:val="left"/>
      <w:pPr>
        <w:tabs>
          <w:tab w:val="num" w:pos="5040"/>
        </w:tabs>
        <w:ind w:left="5040" w:hanging="360"/>
      </w:pPr>
      <w:rPr>
        <w:rFonts w:ascii="Arial" w:hAnsi="Arial" w:hint="default"/>
      </w:rPr>
    </w:lvl>
    <w:lvl w:ilvl="7" w:tplc="E564E43C" w:tentative="1">
      <w:start w:val="1"/>
      <w:numFmt w:val="bullet"/>
      <w:lvlText w:val="•"/>
      <w:lvlJc w:val="left"/>
      <w:pPr>
        <w:tabs>
          <w:tab w:val="num" w:pos="5760"/>
        </w:tabs>
        <w:ind w:left="5760" w:hanging="360"/>
      </w:pPr>
      <w:rPr>
        <w:rFonts w:ascii="Arial" w:hAnsi="Arial" w:hint="default"/>
      </w:rPr>
    </w:lvl>
    <w:lvl w:ilvl="8" w:tplc="6DC6BB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7EF2E06"/>
    <w:multiLevelType w:val="hybridMultilevel"/>
    <w:tmpl w:val="BAC01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B0616"/>
    <w:multiLevelType w:val="hybridMultilevel"/>
    <w:tmpl w:val="40267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37A"/>
    <w:rsid w:val="00004B68"/>
    <w:rsid w:val="0002161D"/>
    <w:rsid w:val="00032253"/>
    <w:rsid w:val="000536EF"/>
    <w:rsid w:val="00054143"/>
    <w:rsid w:val="000628C4"/>
    <w:rsid w:val="00066BD0"/>
    <w:rsid w:val="00072084"/>
    <w:rsid w:val="00094005"/>
    <w:rsid w:val="00097223"/>
    <w:rsid w:val="000C02D9"/>
    <w:rsid w:val="000C2CC4"/>
    <w:rsid w:val="000F05D2"/>
    <w:rsid w:val="000F65A3"/>
    <w:rsid w:val="000F7B7E"/>
    <w:rsid w:val="00100663"/>
    <w:rsid w:val="00110342"/>
    <w:rsid w:val="00120E77"/>
    <w:rsid w:val="00124DCD"/>
    <w:rsid w:val="00130887"/>
    <w:rsid w:val="00150BE5"/>
    <w:rsid w:val="00162289"/>
    <w:rsid w:val="0017748B"/>
    <w:rsid w:val="0019502D"/>
    <w:rsid w:val="001A256B"/>
    <w:rsid w:val="001B3E0B"/>
    <w:rsid w:val="001C02DD"/>
    <w:rsid w:val="001C6265"/>
    <w:rsid w:val="001C6A1A"/>
    <w:rsid w:val="001E1978"/>
    <w:rsid w:val="001F377B"/>
    <w:rsid w:val="00205E65"/>
    <w:rsid w:val="002145C5"/>
    <w:rsid w:val="00220993"/>
    <w:rsid w:val="002265FF"/>
    <w:rsid w:val="00232BEE"/>
    <w:rsid w:val="00243362"/>
    <w:rsid w:val="002478F9"/>
    <w:rsid w:val="002522D6"/>
    <w:rsid w:val="00255C23"/>
    <w:rsid w:val="00270F07"/>
    <w:rsid w:val="00275FE1"/>
    <w:rsid w:val="002A0A11"/>
    <w:rsid w:val="002A2EB2"/>
    <w:rsid w:val="002A300D"/>
    <w:rsid w:val="002A7A8A"/>
    <w:rsid w:val="002C68EE"/>
    <w:rsid w:val="002C7D4D"/>
    <w:rsid w:val="00300A96"/>
    <w:rsid w:val="00302C0C"/>
    <w:rsid w:val="0030527D"/>
    <w:rsid w:val="0030664D"/>
    <w:rsid w:val="00326912"/>
    <w:rsid w:val="00336705"/>
    <w:rsid w:val="00341075"/>
    <w:rsid w:val="003414DA"/>
    <w:rsid w:val="00347EBA"/>
    <w:rsid w:val="00351F5A"/>
    <w:rsid w:val="00366627"/>
    <w:rsid w:val="0039223F"/>
    <w:rsid w:val="0039654D"/>
    <w:rsid w:val="003971B6"/>
    <w:rsid w:val="003B670E"/>
    <w:rsid w:val="003D437A"/>
    <w:rsid w:val="003F0212"/>
    <w:rsid w:val="003F093A"/>
    <w:rsid w:val="00413393"/>
    <w:rsid w:val="00414849"/>
    <w:rsid w:val="00446DAF"/>
    <w:rsid w:val="00454FC1"/>
    <w:rsid w:val="004618C0"/>
    <w:rsid w:val="0048011B"/>
    <w:rsid w:val="0048671C"/>
    <w:rsid w:val="004951B5"/>
    <w:rsid w:val="004A0D9C"/>
    <w:rsid w:val="004A329B"/>
    <w:rsid w:val="004A4E98"/>
    <w:rsid w:val="004A5185"/>
    <w:rsid w:val="004B7383"/>
    <w:rsid w:val="004C0EF0"/>
    <w:rsid w:val="00503F25"/>
    <w:rsid w:val="0050740A"/>
    <w:rsid w:val="005318A3"/>
    <w:rsid w:val="00532996"/>
    <w:rsid w:val="005441BD"/>
    <w:rsid w:val="005565B0"/>
    <w:rsid w:val="00563A2A"/>
    <w:rsid w:val="005662DE"/>
    <w:rsid w:val="005855D5"/>
    <w:rsid w:val="00586EE4"/>
    <w:rsid w:val="005B5EC9"/>
    <w:rsid w:val="005B744B"/>
    <w:rsid w:val="005C70FA"/>
    <w:rsid w:val="00603CF3"/>
    <w:rsid w:val="00605166"/>
    <w:rsid w:val="00641C10"/>
    <w:rsid w:val="006436A4"/>
    <w:rsid w:val="006461D0"/>
    <w:rsid w:val="0065069A"/>
    <w:rsid w:val="00653687"/>
    <w:rsid w:val="00654132"/>
    <w:rsid w:val="00654DB4"/>
    <w:rsid w:val="0067037F"/>
    <w:rsid w:val="00682E42"/>
    <w:rsid w:val="00686D25"/>
    <w:rsid w:val="006A19CB"/>
    <w:rsid w:val="006A1E79"/>
    <w:rsid w:val="006A6E6B"/>
    <w:rsid w:val="006D115B"/>
    <w:rsid w:val="006E36C5"/>
    <w:rsid w:val="006F0291"/>
    <w:rsid w:val="006F6977"/>
    <w:rsid w:val="0071293D"/>
    <w:rsid w:val="00716ACF"/>
    <w:rsid w:val="00730580"/>
    <w:rsid w:val="0073510D"/>
    <w:rsid w:val="00742D69"/>
    <w:rsid w:val="0075281F"/>
    <w:rsid w:val="00761AA9"/>
    <w:rsid w:val="00782B1A"/>
    <w:rsid w:val="007A1DE3"/>
    <w:rsid w:val="007A32A0"/>
    <w:rsid w:val="007B2A1D"/>
    <w:rsid w:val="008100C5"/>
    <w:rsid w:val="00835288"/>
    <w:rsid w:val="0083580D"/>
    <w:rsid w:val="00835E8E"/>
    <w:rsid w:val="008419D6"/>
    <w:rsid w:val="00846A37"/>
    <w:rsid w:val="008575C9"/>
    <w:rsid w:val="00861829"/>
    <w:rsid w:val="00867BC8"/>
    <w:rsid w:val="00883E3C"/>
    <w:rsid w:val="00892C8D"/>
    <w:rsid w:val="008972D2"/>
    <w:rsid w:val="008B4CF3"/>
    <w:rsid w:val="008B661D"/>
    <w:rsid w:val="008D2939"/>
    <w:rsid w:val="008D38C8"/>
    <w:rsid w:val="008F7225"/>
    <w:rsid w:val="00900B5A"/>
    <w:rsid w:val="00904EA9"/>
    <w:rsid w:val="0090594A"/>
    <w:rsid w:val="00921EDD"/>
    <w:rsid w:val="00924538"/>
    <w:rsid w:val="009274CC"/>
    <w:rsid w:val="00930DD0"/>
    <w:rsid w:val="009474CF"/>
    <w:rsid w:val="00953CA3"/>
    <w:rsid w:val="00954DCE"/>
    <w:rsid w:val="00955D12"/>
    <w:rsid w:val="0096033B"/>
    <w:rsid w:val="00962824"/>
    <w:rsid w:val="00963B42"/>
    <w:rsid w:val="0098509B"/>
    <w:rsid w:val="009A4CD6"/>
    <w:rsid w:val="009C2422"/>
    <w:rsid w:val="009D4BFE"/>
    <w:rsid w:val="009E36FF"/>
    <w:rsid w:val="00A026CA"/>
    <w:rsid w:val="00A3722B"/>
    <w:rsid w:val="00A731E7"/>
    <w:rsid w:val="00AA5450"/>
    <w:rsid w:val="00AA63C9"/>
    <w:rsid w:val="00AB00E3"/>
    <w:rsid w:val="00AC1891"/>
    <w:rsid w:val="00AC5BB3"/>
    <w:rsid w:val="00AE58FF"/>
    <w:rsid w:val="00AF1E76"/>
    <w:rsid w:val="00B03082"/>
    <w:rsid w:val="00B0785B"/>
    <w:rsid w:val="00B10A23"/>
    <w:rsid w:val="00B13C19"/>
    <w:rsid w:val="00B15120"/>
    <w:rsid w:val="00B155FA"/>
    <w:rsid w:val="00B15E15"/>
    <w:rsid w:val="00B279C5"/>
    <w:rsid w:val="00B36D3B"/>
    <w:rsid w:val="00B649CD"/>
    <w:rsid w:val="00B65706"/>
    <w:rsid w:val="00B65FDA"/>
    <w:rsid w:val="00B678FD"/>
    <w:rsid w:val="00B72A01"/>
    <w:rsid w:val="00B769E1"/>
    <w:rsid w:val="00B83529"/>
    <w:rsid w:val="00BB2855"/>
    <w:rsid w:val="00BB7C04"/>
    <w:rsid w:val="00BC47DA"/>
    <w:rsid w:val="00BC72B0"/>
    <w:rsid w:val="00BC76B8"/>
    <w:rsid w:val="00BD15F1"/>
    <w:rsid w:val="00BD3C8C"/>
    <w:rsid w:val="00BD4E23"/>
    <w:rsid w:val="00BD70FA"/>
    <w:rsid w:val="00BF0875"/>
    <w:rsid w:val="00C00228"/>
    <w:rsid w:val="00C14D25"/>
    <w:rsid w:val="00C174D9"/>
    <w:rsid w:val="00C3366C"/>
    <w:rsid w:val="00C46040"/>
    <w:rsid w:val="00C461B1"/>
    <w:rsid w:val="00C523E9"/>
    <w:rsid w:val="00C6725D"/>
    <w:rsid w:val="00C752DF"/>
    <w:rsid w:val="00C859FB"/>
    <w:rsid w:val="00C939A4"/>
    <w:rsid w:val="00CE0024"/>
    <w:rsid w:val="00CF7B7E"/>
    <w:rsid w:val="00D022C3"/>
    <w:rsid w:val="00D30744"/>
    <w:rsid w:val="00D31B97"/>
    <w:rsid w:val="00D4483E"/>
    <w:rsid w:val="00D44C61"/>
    <w:rsid w:val="00D4685A"/>
    <w:rsid w:val="00D53C0B"/>
    <w:rsid w:val="00D72677"/>
    <w:rsid w:val="00D8053A"/>
    <w:rsid w:val="00D95725"/>
    <w:rsid w:val="00DA6883"/>
    <w:rsid w:val="00DC3A6F"/>
    <w:rsid w:val="00DC6EA0"/>
    <w:rsid w:val="00DD0E80"/>
    <w:rsid w:val="00DD372B"/>
    <w:rsid w:val="00DF0D3A"/>
    <w:rsid w:val="00DF1292"/>
    <w:rsid w:val="00DF4D85"/>
    <w:rsid w:val="00E01208"/>
    <w:rsid w:val="00E02DE6"/>
    <w:rsid w:val="00E04F5C"/>
    <w:rsid w:val="00E04FF8"/>
    <w:rsid w:val="00E061D1"/>
    <w:rsid w:val="00E16C23"/>
    <w:rsid w:val="00E17B11"/>
    <w:rsid w:val="00E247F3"/>
    <w:rsid w:val="00E51312"/>
    <w:rsid w:val="00E5392A"/>
    <w:rsid w:val="00E55225"/>
    <w:rsid w:val="00E82698"/>
    <w:rsid w:val="00E8673D"/>
    <w:rsid w:val="00E960B4"/>
    <w:rsid w:val="00EB7E20"/>
    <w:rsid w:val="00EE6AD7"/>
    <w:rsid w:val="00F014AC"/>
    <w:rsid w:val="00F04932"/>
    <w:rsid w:val="00F04C72"/>
    <w:rsid w:val="00F107D7"/>
    <w:rsid w:val="00F13098"/>
    <w:rsid w:val="00F22D63"/>
    <w:rsid w:val="00F441FA"/>
    <w:rsid w:val="00F556D4"/>
    <w:rsid w:val="00F631C1"/>
    <w:rsid w:val="00F63E82"/>
    <w:rsid w:val="00F64816"/>
    <w:rsid w:val="00F666E9"/>
    <w:rsid w:val="00F843E9"/>
    <w:rsid w:val="00F93CB8"/>
    <w:rsid w:val="00FA024A"/>
    <w:rsid w:val="00FA1E44"/>
    <w:rsid w:val="00FA3FA1"/>
    <w:rsid w:val="00FA78A3"/>
    <w:rsid w:val="00FC7CBD"/>
    <w:rsid w:val="00FD0EB5"/>
    <w:rsid w:val="00FE16E0"/>
    <w:rsid w:val="00FF304C"/>
    <w:rsid w:val="0501A236"/>
    <w:rsid w:val="0ECB91A2"/>
    <w:rsid w:val="0F1D31FC"/>
    <w:rsid w:val="1144BB03"/>
    <w:rsid w:val="12DF0F5B"/>
    <w:rsid w:val="13ED6CE0"/>
    <w:rsid w:val="15BD54CB"/>
    <w:rsid w:val="162CE3C1"/>
    <w:rsid w:val="1827C35B"/>
    <w:rsid w:val="18493486"/>
    <w:rsid w:val="1A12EF5E"/>
    <w:rsid w:val="1D88A7B6"/>
    <w:rsid w:val="287D26ED"/>
    <w:rsid w:val="30DC83B0"/>
    <w:rsid w:val="3D7DAC75"/>
    <w:rsid w:val="3F426C3B"/>
    <w:rsid w:val="41B8240F"/>
    <w:rsid w:val="41BF9409"/>
    <w:rsid w:val="44B2A95A"/>
    <w:rsid w:val="47B9F391"/>
    <w:rsid w:val="482A48DD"/>
    <w:rsid w:val="4D187C13"/>
    <w:rsid w:val="4ED32B16"/>
    <w:rsid w:val="52D4E3D2"/>
    <w:rsid w:val="5358BCA0"/>
    <w:rsid w:val="545E7D3D"/>
    <w:rsid w:val="5804E484"/>
    <w:rsid w:val="5948C5D3"/>
    <w:rsid w:val="5CF1354B"/>
    <w:rsid w:val="5F0D2E89"/>
    <w:rsid w:val="615014F5"/>
    <w:rsid w:val="66538966"/>
    <w:rsid w:val="67DAC7EE"/>
    <w:rsid w:val="68145D6C"/>
    <w:rsid w:val="6A1A58D4"/>
    <w:rsid w:val="6A33D009"/>
    <w:rsid w:val="7052964F"/>
    <w:rsid w:val="75FEA0F1"/>
    <w:rsid w:val="7A432A06"/>
    <w:rsid w:val="7B3A8A80"/>
    <w:rsid w:val="7D957293"/>
    <w:rsid w:val="7EA6BFFC"/>
    <w:rsid w:val="7F7B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DDE29"/>
  <w15:chartTrackingRefBased/>
  <w15:docId w15:val="{921DC487-162D-410B-8C9A-4C64047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9059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7A"/>
  </w:style>
  <w:style w:type="paragraph" w:styleId="Footer">
    <w:name w:val="footer"/>
    <w:basedOn w:val="Normal"/>
    <w:link w:val="FooterChar"/>
    <w:uiPriority w:val="99"/>
    <w:unhideWhenUsed/>
    <w:rsid w:val="003D4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7A"/>
  </w:style>
  <w:style w:type="paragraph" w:customStyle="1" w:styleId="RFPNormal">
    <w:name w:val="RFP_Normal"/>
    <w:link w:val="RFPNormalChar"/>
    <w:qFormat/>
    <w:rsid w:val="003D437A"/>
    <w:pPr>
      <w:spacing w:before="120" w:after="120" w:line="276" w:lineRule="auto"/>
      <w:jc w:val="both"/>
    </w:pPr>
    <w:rPr>
      <w:rFonts w:ascii="Arial" w:eastAsia="Times New Roman" w:hAnsi="Arial" w:cs="Times New Roman"/>
      <w:color w:val="0070C0"/>
      <w:sz w:val="20"/>
      <w:szCs w:val="20"/>
    </w:rPr>
  </w:style>
  <w:style w:type="character" w:customStyle="1" w:styleId="RFPNormalChar">
    <w:name w:val="RFP_Normal Char"/>
    <w:basedOn w:val="DefaultParagraphFont"/>
    <w:link w:val="RFPNormal"/>
    <w:rsid w:val="003D437A"/>
    <w:rPr>
      <w:rFonts w:ascii="Arial" w:eastAsia="Times New Roman" w:hAnsi="Arial" w:cs="Times New Roman"/>
      <w:color w:val="0070C0"/>
      <w:sz w:val="20"/>
      <w:szCs w:val="20"/>
    </w:rPr>
  </w:style>
  <w:style w:type="table" w:styleId="TableGrid">
    <w:name w:val="Table Grid"/>
    <w:basedOn w:val="TableNormal"/>
    <w:uiPriority w:val="39"/>
    <w:rsid w:val="00B07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B0785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Revision">
    <w:name w:val="Revision"/>
    <w:hidden/>
    <w:uiPriority w:val="99"/>
    <w:semiHidden/>
    <w:rsid w:val="00413393"/>
    <w:pPr>
      <w:spacing w:after="0" w:line="240" w:lineRule="auto"/>
    </w:pPr>
  </w:style>
  <w:style w:type="paragraph" w:styleId="BalloonText">
    <w:name w:val="Balloon Text"/>
    <w:basedOn w:val="Normal"/>
    <w:link w:val="BalloonTextChar"/>
    <w:uiPriority w:val="99"/>
    <w:semiHidden/>
    <w:unhideWhenUsed/>
    <w:rsid w:val="00413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393"/>
    <w:rPr>
      <w:rFonts w:ascii="Segoe UI" w:hAnsi="Segoe UI" w:cs="Segoe UI"/>
      <w:sz w:val="18"/>
      <w:szCs w:val="18"/>
    </w:rPr>
  </w:style>
  <w:style w:type="character" w:styleId="CommentReference">
    <w:name w:val="annotation reference"/>
    <w:basedOn w:val="DefaultParagraphFont"/>
    <w:uiPriority w:val="99"/>
    <w:semiHidden/>
    <w:unhideWhenUsed/>
    <w:rsid w:val="00413393"/>
    <w:rPr>
      <w:sz w:val="16"/>
      <w:szCs w:val="16"/>
    </w:rPr>
  </w:style>
  <w:style w:type="paragraph" w:styleId="CommentText">
    <w:name w:val="annotation text"/>
    <w:basedOn w:val="Normal"/>
    <w:link w:val="CommentTextChar"/>
    <w:uiPriority w:val="99"/>
    <w:semiHidden/>
    <w:unhideWhenUsed/>
    <w:rsid w:val="00413393"/>
    <w:pPr>
      <w:spacing w:line="240" w:lineRule="auto"/>
    </w:pPr>
    <w:rPr>
      <w:sz w:val="20"/>
      <w:szCs w:val="20"/>
    </w:rPr>
  </w:style>
  <w:style w:type="character" w:customStyle="1" w:styleId="CommentTextChar">
    <w:name w:val="Comment Text Char"/>
    <w:basedOn w:val="DefaultParagraphFont"/>
    <w:link w:val="CommentText"/>
    <w:uiPriority w:val="99"/>
    <w:semiHidden/>
    <w:rsid w:val="00413393"/>
    <w:rPr>
      <w:sz w:val="20"/>
      <w:szCs w:val="20"/>
    </w:rPr>
  </w:style>
  <w:style w:type="paragraph" w:styleId="CommentSubject">
    <w:name w:val="annotation subject"/>
    <w:basedOn w:val="CommentText"/>
    <w:next w:val="CommentText"/>
    <w:link w:val="CommentSubjectChar"/>
    <w:uiPriority w:val="99"/>
    <w:semiHidden/>
    <w:unhideWhenUsed/>
    <w:rsid w:val="00413393"/>
    <w:rPr>
      <w:b/>
      <w:bCs/>
    </w:rPr>
  </w:style>
  <w:style w:type="character" w:customStyle="1" w:styleId="CommentSubjectChar">
    <w:name w:val="Comment Subject Char"/>
    <w:basedOn w:val="CommentTextChar"/>
    <w:link w:val="CommentSubject"/>
    <w:uiPriority w:val="99"/>
    <w:semiHidden/>
    <w:rsid w:val="00413393"/>
    <w:rPr>
      <w:b/>
      <w:bCs/>
      <w:sz w:val="20"/>
      <w:szCs w:val="20"/>
    </w:rPr>
  </w:style>
  <w:style w:type="character" w:customStyle="1" w:styleId="Heading1Char">
    <w:name w:val="Heading 1 Char"/>
    <w:basedOn w:val="DefaultParagraphFont"/>
    <w:link w:val="Heading1"/>
    <w:uiPriority w:val="9"/>
    <w:rsid w:val="0090594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522D6"/>
    <w:rPr>
      <w:color w:val="0563C1" w:themeColor="hyperlink"/>
      <w:u w:val="single"/>
    </w:rPr>
  </w:style>
  <w:style w:type="paragraph" w:customStyle="1" w:styleId="Default">
    <w:name w:val="Default"/>
    <w:rsid w:val="0030527D"/>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A78A3"/>
    <w:rPr>
      <w:color w:val="605E5C"/>
      <w:shd w:val="clear" w:color="auto" w:fill="E1DFDD"/>
    </w:rPr>
  </w:style>
  <w:style w:type="character" w:styleId="FollowedHyperlink">
    <w:name w:val="FollowedHyperlink"/>
    <w:basedOn w:val="DefaultParagraphFont"/>
    <w:uiPriority w:val="99"/>
    <w:semiHidden/>
    <w:unhideWhenUsed/>
    <w:rsid w:val="00FA7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653515">
      <w:bodyDiv w:val="1"/>
      <w:marLeft w:val="0"/>
      <w:marRight w:val="0"/>
      <w:marTop w:val="0"/>
      <w:marBottom w:val="0"/>
      <w:divBdr>
        <w:top w:val="none" w:sz="0" w:space="0" w:color="auto"/>
        <w:left w:val="none" w:sz="0" w:space="0" w:color="auto"/>
        <w:bottom w:val="none" w:sz="0" w:space="0" w:color="auto"/>
        <w:right w:val="none" w:sz="0" w:space="0" w:color="auto"/>
      </w:divBdr>
    </w:div>
    <w:div w:id="873159120">
      <w:bodyDiv w:val="1"/>
      <w:marLeft w:val="0"/>
      <w:marRight w:val="0"/>
      <w:marTop w:val="0"/>
      <w:marBottom w:val="0"/>
      <w:divBdr>
        <w:top w:val="none" w:sz="0" w:space="0" w:color="auto"/>
        <w:left w:val="none" w:sz="0" w:space="0" w:color="auto"/>
        <w:bottom w:val="none" w:sz="0" w:space="0" w:color="auto"/>
        <w:right w:val="none" w:sz="0" w:space="0" w:color="auto"/>
      </w:divBdr>
    </w:div>
    <w:div w:id="1230307831">
      <w:bodyDiv w:val="1"/>
      <w:marLeft w:val="0"/>
      <w:marRight w:val="0"/>
      <w:marTop w:val="0"/>
      <w:marBottom w:val="0"/>
      <w:divBdr>
        <w:top w:val="none" w:sz="0" w:space="0" w:color="auto"/>
        <w:left w:val="none" w:sz="0" w:space="0" w:color="auto"/>
        <w:bottom w:val="none" w:sz="0" w:space="0" w:color="auto"/>
        <w:right w:val="none" w:sz="0" w:space="0" w:color="auto"/>
      </w:divBdr>
      <w:divsChild>
        <w:div w:id="1694577939">
          <w:marLeft w:val="0"/>
          <w:marRight w:val="0"/>
          <w:marTop w:val="0"/>
          <w:marBottom w:val="0"/>
          <w:divBdr>
            <w:top w:val="none" w:sz="0" w:space="0" w:color="auto"/>
            <w:left w:val="none" w:sz="0" w:space="0" w:color="auto"/>
            <w:bottom w:val="none" w:sz="0" w:space="0" w:color="auto"/>
            <w:right w:val="none" w:sz="0" w:space="0" w:color="auto"/>
          </w:divBdr>
        </w:div>
        <w:div w:id="845748447">
          <w:marLeft w:val="0"/>
          <w:marRight w:val="0"/>
          <w:marTop w:val="0"/>
          <w:marBottom w:val="0"/>
          <w:divBdr>
            <w:top w:val="none" w:sz="0" w:space="0" w:color="auto"/>
            <w:left w:val="none" w:sz="0" w:space="0" w:color="auto"/>
            <w:bottom w:val="none" w:sz="0" w:space="0" w:color="auto"/>
            <w:right w:val="none" w:sz="0" w:space="0" w:color="auto"/>
          </w:divBdr>
        </w:div>
        <w:div w:id="909727059">
          <w:marLeft w:val="0"/>
          <w:marRight w:val="0"/>
          <w:marTop w:val="0"/>
          <w:marBottom w:val="0"/>
          <w:divBdr>
            <w:top w:val="none" w:sz="0" w:space="0" w:color="auto"/>
            <w:left w:val="none" w:sz="0" w:space="0" w:color="auto"/>
            <w:bottom w:val="none" w:sz="0" w:space="0" w:color="auto"/>
            <w:right w:val="none" w:sz="0" w:space="0" w:color="auto"/>
          </w:divBdr>
        </w:div>
        <w:div w:id="1989094863">
          <w:marLeft w:val="0"/>
          <w:marRight w:val="0"/>
          <w:marTop w:val="0"/>
          <w:marBottom w:val="0"/>
          <w:divBdr>
            <w:top w:val="none" w:sz="0" w:space="0" w:color="auto"/>
            <w:left w:val="none" w:sz="0" w:space="0" w:color="auto"/>
            <w:bottom w:val="none" w:sz="0" w:space="0" w:color="auto"/>
            <w:right w:val="none" w:sz="0" w:space="0" w:color="auto"/>
          </w:divBdr>
        </w:div>
        <w:div w:id="1994605713">
          <w:marLeft w:val="0"/>
          <w:marRight w:val="0"/>
          <w:marTop w:val="0"/>
          <w:marBottom w:val="0"/>
          <w:divBdr>
            <w:top w:val="none" w:sz="0" w:space="0" w:color="auto"/>
            <w:left w:val="none" w:sz="0" w:space="0" w:color="auto"/>
            <w:bottom w:val="none" w:sz="0" w:space="0" w:color="auto"/>
            <w:right w:val="none" w:sz="0" w:space="0" w:color="auto"/>
          </w:divBdr>
        </w:div>
        <w:div w:id="416295907">
          <w:marLeft w:val="0"/>
          <w:marRight w:val="0"/>
          <w:marTop w:val="0"/>
          <w:marBottom w:val="0"/>
          <w:divBdr>
            <w:top w:val="none" w:sz="0" w:space="0" w:color="auto"/>
            <w:left w:val="none" w:sz="0" w:space="0" w:color="auto"/>
            <w:bottom w:val="none" w:sz="0" w:space="0" w:color="auto"/>
            <w:right w:val="none" w:sz="0" w:space="0" w:color="auto"/>
          </w:divBdr>
        </w:div>
      </w:divsChild>
    </w:div>
    <w:div w:id="1242834729">
      <w:bodyDiv w:val="1"/>
      <w:marLeft w:val="0"/>
      <w:marRight w:val="0"/>
      <w:marTop w:val="0"/>
      <w:marBottom w:val="0"/>
      <w:divBdr>
        <w:top w:val="none" w:sz="0" w:space="0" w:color="auto"/>
        <w:left w:val="none" w:sz="0" w:space="0" w:color="auto"/>
        <w:bottom w:val="none" w:sz="0" w:space="0" w:color="auto"/>
        <w:right w:val="none" w:sz="0" w:space="0" w:color="auto"/>
      </w:divBdr>
      <w:divsChild>
        <w:div w:id="643967234">
          <w:marLeft w:val="360"/>
          <w:marRight w:val="0"/>
          <w:marTop w:val="200"/>
          <w:marBottom w:val="0"/>
          <w:divBdr>
            <w:top w:val="none" w:sz="0" w:space="0" w:color="auto"/>
            <w:left w:val="none" w:sz="0" w:space="0" w:color="auto"/>
            <w:bottom w:val="none" w:sz="0" w:space="0" w:color="auto"/>
            <w:right w:val="none" w:sz="0" w:space="0" w:color="auto"/>
          </w:divBdr>
        </w:div>
      </w:divsChild>
    </w:div>
    <w:div w:id="1771662172">
      <w:bodyDiv w:val="1"/>
      <w:marLeft w:val="0"/>
      <w:marRight w:val="0"/>
      <w:marTop w:val="0"/>
      <w:marBottom w:val="0"/>
      <w:divBdr>
        <w:top w:val="none" w:sz="0" w:space="0" w:color="auto"/>
        <w:left w:val="none" w:sz="0" w:space="0" w:color="auto"/>
        <w:bottom w:val="none" w:sz="0" w:space="0" w:color="auto"/>
        <w:right w:val="none" w:sz="0" w:space="0" w:color="auto"/>
      </w:divBdr>
      <w:divsChild>
        <w:div w:id="61232769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06.mypinpointe.com/l/3G5FM52Twu5Mxm2v4PI4o88b4lQCsMV2M5jg7-U0ak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400B72095A246B55326426A6E4390" ma:contentTypeVersion="9" ma:contentTypeDescription="Create a new document." ma:contentTypeScope="" ma:versionID="15e4a297449ea2100a2b7c89b2c7d69e">
  <xsd:schema xmlns:xsd="http://www.w3.org/2001/XMLSchema" xmlns:xs="http://www.w3.org/2001/XMLSchema" xmlns:p="http://schemas.microsoft.com/office/2006/metadata/properties" xmlns:ns3="0c530462-0c5d-4ec4-8719-9ca5323f8bc3" targetNamespace="http://schemas.microsoft.com/office/2006/metadata/properties" ma:root="true" ma:fieldsID="be5b098960176085748f397edbca7aa0" ns3:_="">
    <xsd:import namespace="0c530462-0c5d-4ec4-8719-9ca5323f8b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30462-0c5d-4ec4-8719-9ca5323f8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0498C-2207-4357-A459-251E1D0513EB}">
  <ds:schemaRefs>
    <ds:schemaRef ds:uri="http://www.w3.org/XML/1998/namespace"/>
    <ds:schemaRef ds:uri="http://schemas.microsoft.com/office/2006/metadata/properties"/>
    <ds:schemaRef ds:uri="http://schemas.microsoft.com/office/2006/documentManagement/types"/>
    <ds:schemaRef ds:uri="http://purl.org/dc/dcmitype/"/>
    <ds:schemaRef ds:uri="0c530462-0c5d-4ec4-8719-9ca5323f8bc3"/>
    <ds:schemaRef ds:uri="http://purl.org/dc/elements/1.1/"/>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65127577-724F-44DB-BD64-86603C7D78EC}">
  <ds:schemaRefs>
    <ds:schemaRef ds:uri="http://schemas.microsoft.com/sharepoint/v3/contenttype/forms"/>
  </ds:schemaRefs>
</ds:datastoreItem>
</file>

<file path=customXml/itemProps3.xml><?xml version="1.0" encoding="utf-8"?>
<ds:datastoreItem xmlns:ds="http://schemas.openxmlformats.org/officeDocument/2006/customXml" ds:itemID="{FD660BD1-0C51-41A7-8946-27E77CF1A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30462-0c5d-4ec4-8719-9ca5323f8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Kamp</dc:creator>
  <cp:keywords/>
  <dc:description/>
  <cp:lastModifiedBy>Craig Newman</cp:lastModifiedBy>
  <cp:revision>2</cp:revision>
  <dcterms:created xsi:type="dcterms:W3CDTF">2020-03-13T14:26:00Z</dcterms:created>
  <dcterms:modified xsi:type="dcterms:W3CDTF">2020-03-13T14:26:00Z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0x0101007CB400B72095A246B55326426A6E4390</vt:lpwstr>
  </property>
</Properties>
</file>